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  <Default Extension="png" ContentType="image/png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8"/>
        <w:rPr>
          <w:rFonts w:ascii="Times New Roman"/>
          <w:sz w:val="15"/>
        </w:rPr>
      </w:pPr>
    </w:p>
    <w:p>
      <w:pPr>
        <w:tabs>
          <w:tab w:pos="3741" w:val="left" w:leader="none"/>
        </w:tabs>
        <w:spacing w:line="772" w:lineRule="exact" w:before="0"/>
        <w:ind w:left="0" w:right="644" w:firstLine="0"/>
        <w:jc w:val="center"/>
        <w:rPr>
          <w:sz w:val="56"/>
        </w:rPr>
      </w:pPr>
      <w:bookmarkStart w:name="1.審核報告--封面" w:id="1"/>
      <w:bookmarkEnd w:id="1"/>
      <w:r>
        <w:rPr/>
      </w:r>
      <w:r>
        <w:rPr>
          <w:sz w:val="56"/>
        </w:rPr>
        <w:t>中 華</w:t>
      </w:r>
      <w:r>
        <w:rPr>
          <w:spacing w:val="78"/>
          <w:sz w:val="56"/>
        </w:rPr>
        <w:t> </w:t>
      </w:r>
      <w:r>
        <w:rPr>
          <w:sz w:val="56"/>
        </w:rPr>
        <w:t>民</w:t>
      </w:r>
      <w:r>
        <w:rPr>
          <w:spacing w:val="40"/>
          <w:sz w:val="56"/>
        </w:rPr>
        <w:t> </w:t>
      </w:r>
      <w:r>
        <w:rPr>
          <w:sz w:val="56"/>
        </w:rPr>
        <w:t>國</w:t>
        <w:tab/>
        <w:t>1 0 9 年</w:t>
      </w:r>
      <w:r>
        <w:rPr>
          <w:spacing w:val="-104"/>
          <w:sz w:val="56"/>
        </w:rPr>
        <w:t> </w:t>
      </w:r>
      <w:r>
        <w:rPr>
          <w:sz w:val="56"/>
        </w:rPr>
        <w:t>度</w:t>
      </w:r>
    </w:p>
    <w:p>
      <w:pPr>
        <w:pStyle w:val="Heading3"/>
        <w:spacing w:before="277"/>
        <w:ind w:right="318"/>
        <w:jc w:val="center"/>
      </w:pPr>
      <w:r>
        <w:rPr/>
        <w:t>(109</w:t>
      </w:r>
      <w:r>
        <w:rPr>
          <w:spacing w:val="-54"/>
        </w:rPr>
        <w:t> 年 </w:t>
      </w:r>
      <w:r>
        <w:rPr/>
        <w:t>1</w:t>
      </w:r>
      <w:r>
        <w:rPr>
          <w:spacing w:val="-55"/>
        </w:rPr>
        <w:t> 月 </w:t>
      </w:r>
      <w:r>
        <w:rPr/>
        <w:t>1</w:t>
      </w:r>
      <w:r>
        <w:rPr>
          <w:spacing w:val="-40"/>
        </w:rPr>
        <w:t> 日至 </w:t>
      </w:r>
      <w:r>
        <w:rPr/>
        <w:t>109</w:t>
      </w:r>
      <w:r>
        <w:rPr>
          <w:spacing w:val="-54"/>
        </w:rPr>
        <w:t> 年 </w:t>
      </w:r>
      <w:r>
        <w:rPr/>
        <w:t>12</w:t>
      </w:r>
      <w:r>
        <w:rPr>
          <w:spacing w:val="-54"/>
        </w:rPr>
        <w:t> 月 </w:t>
      </w:r>
      <w:r>
        <w:rPr/>
        <w:t>31</w:t>
      </w:r>
      <w:r>
        <w:rPr>
          <w:spacing w:val="-27"/>
        </w:rPr>
        <w:t> 日)</w:t>
      </w: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spacing w:before="13"/>
        <w:rPr>
          <w:sz w:val="23"/>
        </w:rPr>
      </w:pPr>
    </w:p>
    <w:p>
      <w:pPr>
        <w:spacing w:before="0"/>
        <w:ind w:left="0" w:right="318" w:firstLine="0"/>
        <w:jc w:val="center"/>
        <w:rPr>
          <w:b/>
          <w:sz w:val="80"/>
        </w:rPr>
      </w:pPr>
      <w:r>
        <w:rPr>
          <w:b/>
          <w:sz w:val="80"/>
        </w:rPr>
        <w:t>花蓮縣總決算</w:t>
      </w:r>
    </w:p>
    <w:p>
      <w:pPr>
        <w:spacing w:before="424"/>
        <w:ind w:left="0" w:right="321" w:firstLine="0"/>
        <w:jc w:val="center"/>
        <w:rPr>
          <w:b/>
          <w:sz w:val="80"/>
        </w:rPr>
      </w:pPr>
      <w:r>
        <w:rPr>
          <w:b/>
          <w:spacing w:val="-145"/>
          <w:sz w:val="80"/>
        </w:rPr>
        <w:t>暨附屬單位決算及綜計表審核報告</w:t>
      </w:r>
    </w:p>
    <w:p>
      <w:pPr>
        <w:pStyle w:val="BodyText"/>
        <w:rPr>
          <w:b/>
          <w:sz w:val="80"/>
        </w:rPr>
      </w:pPr>
    </w:p>
    <w:p>
      <w:pPr>
        <w:pStyle w:val="BodyText"/>
        <w:rPr>
          <w:b/>
          <w:sz w:val="80"/>
        </w:rPr>
      </w:pPr>
    </w:p>
    <w:p>
      <w:pPr>
        <w:pStyle w:val="BodyText"/>
        <w:rPr>
          <w:b/>
          <w:sz w:val="80"/>
        </w:rPr>
      </w:pPr>
    </w:p>
    <w:p>
      <w:pPr>
        <w:pStyle w:val="BodyText"/>
        <w:rPr>
          <w:b/>
          <w:sz w:val="80"/>
        </w:rPr>
      </w:pPr>
    </w:p>
    <w:p>
      <w:pPr>
        <w:pStyle w:val="BodyText"/>
        <w:spacing w:before="12"/>
        <w:rPr>
          <w:b/>
          <w:sz w:val="107"/>
        </w:rPr>
      </w:pPr>
    </w:p>
    <w:p>
      <w:pPr>
        <w:spacing w:before="1"/>
        <w:ind w:left="0" w:right="320" w:firstLine="0"/>
        <w:jc w:val="center"/>
        <w:rPr>
          <w:sz w:val="48"/>
        </w:rPr>
      </w:pPr>
      <w:r>
        <w:rPr>
          <w:sz w:val="48"/>
        </w:rPr>
        <w:t>審計部臺灣省花蓮縣審計室</w:t>
      </w:r>
    </w:p>
    <w:p>
      <w:pPr>
        <w:spacing w:after="0"/>
        <w:jc w:val="center"/>
        <w:rPr>
          <w:sz w:val="48"/>
        </w:rPr>
        <w:sectPr>
          <w:type w:val="continuous"/>
          <w:pgSz w:w="11910" w:h="16840"/>
          <w:pgMar w:top="1580" w:bottom="280" w:left="740" w:right="420"/>
        </w:sectPr>
      </w:pPr>
    </w:p>
    <w:p>
      <w:pPr>
        <w:pStyle w:val="Heading1"/>
        <w:spacing w:line="660" w:lineRule="exact"/>
      </w:pPr>
      <w:bookmarkStart w:name="3.審核報告--彙整" w:id="2"/>
      <w:bookmarkEnd w:id="2"/>
      <w:r>
        <w:rPr>
          <w:b w:val="0"/>
        </w:rPr>
      </w:r>
      <w:bookmarkStart w:name="109審核報告前言" w:id="3"/>
      <w:bookmarkEnd w:id="3"/>
      <w:r>
        <w:rPr>
          <w:b w:val="0"/>
        </w:rPr>
      </w:r>
      <w:r>
        <w:rPr/>
        <w:t>中華民國 109 年度</w:t>
      </w:r>
    </w:p>
    <w:p>
      <w:pPr>
        <w:spacing w:before="27"/>
        <w:ind w:left="0" w:right="315" w:firstLine="0"/>
        <w:jc w:val="center"/>
        <w:rPr>
          <w:b/>
          <w:sz w:val="48"/>
        </w:rPr>
      </w:pPr>
      <w:r>
        <w:rPr>
          <w:b/>
          <w:sz w:val="48"/>
        </w:rPr>
        <w:t>花蓮縣總決算</w:t>
      </w:r>
    </w:p>
    <w:p>
      <w:pPr>
        <w:spacing w:before="29"/>
        <w:ind w:left="0" w:right="319" w:firstLine="0"/>
        <w:jc w:val="center"/>
        <w:rPr>
          <w:b/>
          <w:sz w:val="48"/>
        </w:rPr>
      </w:pPr>
      <w:r>
        <w:rPr>
          <w:b/>
          <w:sz w:val="48"/>
        </w:rPr>
        <w:t>暨附屬單位決算及綜計表審核報告</w:t>
      </w:r>
    </w:p>
    <w:p>
      <w:pPr>
        <w:tabs>
          <w:tab w:pos="9018" w:val="left" w:leader="none"/>
        </w:tabs>
        <w:spacing w:line="213" w:lineRule="auto" w:before="165"/>
        <w:ind w:left="6613" w:right="446" w:firstLine="19"/>
        <w:jc w:val="left"/>
        <w:rPr>
          <w:sz w:val="32"/>
        </w:rPr>
      </w:pPr>
      <w:r>
        <w:rPr>
          <w:b/>
          <w:spacing w:val="-20"/>
          <w:sz w:val="32"/>
        </w:rPr>
        <w:t>審</w:t>
      </w:r>
      <w:r>
        <w:rPr>
          <w:b/>
          <w:spacing w:val="-17"/>
          <w:sz w:val="32"/>
        </w:rPr>
        <w:t>計</w:t>
      </w:r>
      <w:r>
        <w:rPr>
          <w:b/>
          <w:spacing w:val="-20"/>
          <w:sz w:val="32"/>
        </w:rPr>
        <w:t>部臺灣省花蓮</w:t>
      </w:r>
      <w:r>
        <w:rPr>
          <w:b/>
          <w:spacing w:val="-17"/>
          <w:sz w:val="32"/>
        </w:rPr>
        <w:t>縣</w:t>
      </w:r>
      <w:r>
        <w:rPr>
          <w:b/>
          <w:spacing w:val="-20"/>
          <w:sz w:val="32"/>
        </w:rPr>
        <w:t>審計室</w:t>
      </w:r>
      <w:r>
        <w:rPr>
          <w:b/>
          <w:spacing w:val="21"/>
          <w:sz w:val="32"/>
        </w:rPr>
        <w:t>審計官兼主</w:t>
      </w:r>
      <w:r>
        <w:rPr>
          <w:b/>
          <w:sz w:val="32"/>
        </w:rPr>
        <w:t>任</w:t>
        <w:tab/>
      </w:r>
      <w:r>
        <w:rPr>
          <w:sz w:val="32"/>
        </w:rPr>
        <w:t>林 慶</w:t>
      </w:r>
      <w:r>
        <w:rPr>
          <w:spacing w:val="-2"/>
          <w:sz w:val="32"/>
        </w:rPr>
        <w:t> </w:t>
      </w:r>
      <w:r>
        <w:rPr>
          <w:spacing w:val="-16"/>
          <w:sz w:val="32"/>
        </w:rPr>
        <w:t>文</w:t>
      </w:r>
    </w:p>
    <w:p>
      <w:pPr>
        <w:pStyle w:val="BodyText"/>
        <w:spacing w:before="13"/>
        <w:rPr>
          <w:sz w:val="7"/>
        </w:rPr>
      </w:pPr>
    </w:p>
    <w:p>
      <w:pPr>
        <w:tabs>
          <w:tab w:pos="1919" w:val="left" w:leader="none"/>
        </w:tabs>
        <w:spacing w:before="22"/>
        <w:ind w:left="0" w:right="318" w:firstLine="0"/>
        <w:jc w:val="center"/>
        <w:rPr>
          <w:b/>
          <w:sz w:val="40"/>
        </w:rPr>
      </w:pPr>
      <w:r>
        <w:rPr>
          <w:b/>
          <w:sz w:val="40"/>
        </w:rPr>
        <w:t>前</w:t>
        <w:tab/>
        <w:t>言</w:t>
      </w:r>
    </w:p>
    <w:p>
      <w:pPr>
        <w:pStyle w:val="Heading3"/>
        <w:spacing w:before="324"/>
        <w:ind w:right="429"/>
        <w:jc w:val="right"/>
      </w:pPr>
      <w:r>
        <w:rPr>
          <w:spacing w:val="-17"/>
        </w:rPr>
        <w:t>中華民國 </w:t>
      </w:r>
      <w:r>
        <w:rPr/>
        <w:t>109</w:t>
      </w:r>
      <w:r>
        <w:rPr>
          <w:spacing w:val="-12"/>
        </w:rPr>
        <w:t> 年度花蓮縣總決算暨附屬單位決算及綜計表，係由花蓮</w:t>
      </w:r>
    </w:p>
    <w:p>
      <w:pPr>
        <w:spacing w:before="213"/>
        <w:ind w:left="0" w:right="427" w:firstLine="0"/>
        <w:jc w:val="right"/>
        <w:rPr>
          <w:sz w:val="32"/>
        </w:rPr>
      </w:pPr>
      <w:r>
        <w:rPr>
          <w:spacing w:val="-7"/>
          <w:sz w:val="32"/>
        </w:rPr>
        <w:t>縣政府依照地方制度法第 </w:t>
      </w:r>
      <w:r>
        <w:rPr>
          <w:sz w:val="32"/>
        </w:rPr>
        <w:t>42</w:t>
      </w:r>
      <w:r>
        <w:rPr>
          <w:spacing w:val="-27"/>
          <w:sz w:val="32"/>
        </w:rPr>
        <w:t> 條規定，於 </w:t>
      </w:r>
      <w:r>
        <w:rPr>
          <w:sz w:val="32"/>
        </w:rPr>
        <w:t>110</w:t>
      </w:r>
      <w:r>
        <w:rPr>
          <w:spacing w:val="-54"/>
          <w:sz w:val="32"/>
        </w:rPr>
        <w:t> 年 </w:t>
      </w:r>
      <w:r>
        <w:rPr>
          <w:sz w:val="32"/>
        </w:rPr>
        <w:t>4</w:t>
      </w:r>
      <w:r>
        <w:rPr>
          <w:spacing w:val="-56"/>
          <w:sz w:val="32"/>
        </w:rPr>
        <w:t> 月 </w:t>
      </w:r>
      <w:r>
        <w:rPr>
          <w:sz w:val="32"/>
        </w:rPr>
        <w:t>30</w:t>
      </w:r>
      <w:r>
        <w:rPr>
          <w:spacing w:val="-13"/>
          <w:sz w:val="32"/>
        </w:rPr>
        <w:t> 日函送到室，本室</w:t>
      </w:r>
    </w:p>
    <w:p>
      <w:pPr>
        <w:spacing w:line="355" w:lineRule="auto" w:before="212"/>
        <w:ind w:left="112" w:right="429" w:firstLine="0"/>
        <w:jc w:val="left"/>
        <w:rPr>
          <w:sz w:val="32"/>
        </w:rPr>
      </w:pPr>
      <w:r>
        <w:rPr>
          <w:spacing w:val="-11"/>
          <w:sz w:val="32"/>
        </w:rPr>
        <w:t>依照同法條規定，已於 </w:t>
      </w:r>
      <w:r>
        <w:rPr>
          <w:sz w:val="32"/>
        </w:rPr>
        <w:t>3</w:t>
      </w:r>
      <w:r>
        <w:rPr>
          <w:spacing w:val="-11"/>
          <w:sz w:val="32"/>
        </w:rPr>
        <w:t> 個月內完成審核，編造最終審定數額表，並提出</w:t>
      </w:r>
      <w:r>
        <w:rPr>
          <w:sz w:val="32"/>
        </w:rPr>
        <w:t>總決算暨附屬單位決算及綜計表審核報告。</w:t>
      </w:r>
    </w:p>
    <w:p>
      <w:pPr>
        <w:spacing w:line="443" w:lineRule="exact" w:before="0"/>
        <w:ind w:left="753" w:right="0" w:firstLine="0"/>
        <w:jc w:val="left"/>
        <w:rPr>
          <w:sz w:val="32"/>
        </w:rPr>
      </w:pPr>
      <w:r>
        <w:rPr>
          <w:sz w:val="32"/>
        </w:rPr>
        <w:t>109</w:t>
      </w:r>
      <w:r>
        <w:rPr>
          <w:spacing w:val="-14"/>
          <w:sz w:val="32"/>
        </w:rPr>
        <w:t> 年度花蓮縣計編列單位決算之公務機關 </w:t>
      </w:r>
      <w:r>
        <w:rPr>
          <w:sz w:val="32"/>
        </w:rPr>
        <w:t>17</w:t>
      </w:r>
      <w:r>
        <w:rPr>
          <w:spacing w:val="-101"/>
          <w:sz w:val="32"/>
        </w:rPr>
        <w:t> 個</w:t>
      </w:r>
      <w:r>
        <w:rPr>
          <w:sz w:val="32"/>
        </w:rPr>
        <w:t>（分預算及所屬單位</w:t>
      </w:r>
    </w:p>
    <w:p>
      <w:pPr>
        <w:spacing w:before="213"/>
        <w:ind w:left="112" w:right="0" w:firstLine="0"/>
        <w:jc w:val="left"/>
        <w:rPr>
          <w:sz w:val="32"/>
        </w:rPr>
      </w:pPr>
      <w:r>
        <w:rPr>
          <w:spacing w:val="1"/>
          <w:w w:val="99"/>
          <w:sz w:val="32"/>
        </w:rPr>
        <w:t>1</w:t>
      </w:r>
      <w:r>
        <w:rPr>
          <w:w w:val="99"/>
          <w:sz w:val="32"/>
        </w:rPr>
        <w:t>3</w:t>
      </w:r>
      <w:r>
        <w:rPr>
          <w:spacing w:val="-49"/>
          <w:sz w:val="32"/>
        </w:rPr>
        <w:t> </w:t>
      </w:r>
      <w:r>
        <w:rPr>
          <w:spacing w:val="2"/>
          <w:w w:val="99"/>
          <w:sz w:val="32"/>
        </w:rPr>
        <w:t>個</w:t>
      </w:r>
      <w:r>
        <w:rPr>
          <w:spacing w:val="-161"/>
          <w:w w:val="99"/>
          <w:sz w:val="32"/>
        </w:rPr>
        <w:t>）</w:t>
      </w:r>
      <w:r>
        <w:rPr>
          <w:w w:val="99"/>
          <w:sz w:val="32"/>
        </w:rPr>
        <w:t>；編列附屬單位決算之縣營事業單位</w:t>
      </w:r>
      <w:r>
        <w:rPr>
          <w:spacing w:val="-48"/>
          <w:sz w:val="32"/>
        </w:rPr>
        <w:t> </w:t>
      </w:r>
      <w:r>
        <w:rPr>
          <w:w w:val="99"/>
          <w:sz w:val="32"/>
        </w:rPr>
        <w:t>1</w:t>
      </w:r>
      <w:r>
        <w:rPr>
          <w:spacing w:val="-51"/>
          <w:sz w:val="32"/>
        </w:rPr>
        <w:t> </w:t>
      </w:r>
      <w:r>
        <w:rPr>
          <w:w w:val="99"/>
          <w:sz w:val="32"/>
        </w:rPr>
        <w:t>個，非營業特種基金單位</w:t>
      </w:r>
      <w:r>
        <w:rPr>
          <w:spacing w:val="-48"/>
          <w:sz w:val="32"/>
        </w:rPr>
        <w:t> </w:t>
      </w:r>
      <w:r>
        <w:rPr>
          <w:w w:val="99"/>
          <w:sz w:val="32"/>
        </w:rPr>
        <w:t>7</w:t>
      </w:r>
    </w:p>
    <w:p>
      <w:pPr>
        <w:spacing w:before="213"/>
        <w:ind w:left="112" w:right="0" w:firstLine="0"/>
        <w:jc w:val="left"/>
        <w:rPr>
          <w:sz w:val="32"/>
        </w:rPr>
      </w:pPr>
      <w:r>
        <w:rPr>
          <w:spacing w:val="-10"/>
          <w:sz w:val="32"/>
        </w:rPr>
        <w:t>個</w:t>
      </w:r>
      <w:r>
        <w:rPr>
          <w:sz w:val="32"/>
        </w:rPr>
        <w:t>（</w:t>
      </w:r>
      <w:r>
        <w:rPr>
          <w:spacing w:val="-9"/>
          <w:sz w:val="32"/>
        </w:rPr>
        <w:t>分預算及作業單位 </w:t>
      </w:r>
      <w:r>
        <w:rPr>
          <w:sz w:val="32"/>
        </w:rPr>
        <w:t>146</w:t>
      </w:r>
      <w:r>
        <w:rPr>
          <w:spacing w:val="-43"/>
          <w:sz w:val="32"/>
        </w:rPr>
        <w:t> 個</w:t>
      </w:r>
      <w:r>
        <w:rPr>
          <w:spacing w:val="-166"/>
          <w:sz w:val="32"/>
        </w:rPr>
        <w:t>）</w:t>
      </w:r>
      <w:r>
        <w:rPr>
          <w:spacing w:val="-17"/>
          <w:sz w:val="32"/>
        </w:rPr>
        <w:t>。總計審核 </w:t>
      </w:r>
      <w:r>
        <w:rPr>
          <w:sz w:val="32"/>
        </w:rPr>
        <w:t>25</w:t>
      </w:r>
      <w:r>
        <w:rPr>
          <w:spacing w:val="-17"/>
          <w:sz w:val="32"/>
        </w:rPr>
        <w:t> 個機關單位</w:t>
      </w:r>
      <w:r>
        <w:rPr>
          <w:sz w:val="32"/>
        </w:rPr>
        <w:t>（分預算及作業</w:t>
      </w:r>
    </w:p>
    <w:p>
      <w:pPr>
        <w:spacing w:before="212"/>
        <w:ind w:left="112" w:right="0" w:firstLine="0"/>
        <w:jc w:val="left"/>
        <w:rPr>
          <w:sz w:val="32"/>
        </w:rPr>
      </w:pPr>
      <w:r>
        <w:rPr>
          <w:sz w:val="32"/>
        </w:rPr>
        <w:t>單位共計 159 個）之決算。</w:t>
      </w:r>
    </w:p>
    <w:p>
      <w:pPr>
        <w:spacing w:before="213"/>
        <w:ind w:left="0" w:right="428" w:firstLine="0"/>
        <w:jc w:val="right"/>
        <w:rPr>
          <w:sz w:val="32"/>
        </w:rPr>
      </w:pPr>
      <w:r>
        <w:rPr>
          <w:sz w:val="32"/>
        </w:rPr>
        <w:t>109</w:t>
      </w:r>
      <w:r>
        <w:rPr>
          <w:spacing w:val="-17"/>
          <w:sz w:val="32"/>
        </w:rPr>
        <w:t> 年度花蓮縣總決算審核結果，歲入決算修正淨增列</w:t>
      </w:r>
      <w:r>
        <w:rPr>
          <w:sz w:val="32"/>
        </w:rPr>
        <w:t>2,755</w:t>
      </w:r>
      <w:r>
        <w:rPr>
          <w:spacing w:val="-26"/>
          <w:sz w:val="32"/>
        </w:rPr>
        <w:t> 萬餘元，</w:t>
      </w:r>
    </w:p>
    <w:p>
      <w:pPr>
        <w:spacing w:before="212"/>
        <w:ind w:left="0" w:right="421" w:firstLine="0"/>
        <w:jc w:val="right"/>
        <w:rPr>
          <w:sz w:val="32"/>
        </w:rPr>
      </w:pPr>
      <w:r>
        <w:rPr>
          <w:spacing w:val="-21"/>
          <w:sz w:val="32"/>
        </w:rPr>
        <w:t>審定為 </w:t>
      </w:r>
      <w:r>
        <w:rPr>
          <w:sz w:val="32"/>
        </w:rPr>
        <w:t>249</w:t>
      </w:r>
      <w:r>
        <w:rPr>
          <w:spacing w:val="-55"/>
          <w:sz w:val="32"/>
        </w:rPr>
        <w:t> 億 </w:t>
      </w:r>
      <w:r>
        <w:rPr>
          <w:sz w:val="32"/>
        </w:rPr>
        <w:t>2,993</w:t>
      </w:r>
      <w:r>
        <w:rPr>
          <w:spacing w:val="-31"/>
          <w:sz w:val="32"/>
        </w:rPr>
        <w:t> 萬餘元，較預算數 </w:t>
      </w:r>
      <w:r>
        <w:rPr>
          <w:sz w:val="32"/>
        </w:rPr>
        <w:t>250</w:t>
      </w:r>
      <w:r>
        <w:rPr>
          <w:spacing w:val="-54"/>
          <w:sz w:val="32"/>
        </w:rPr>
        <w:t> 億 </w:t>
      </w:r>
      <w:r>
        <w:rPr>
          <w:sz w:val="32"/>
        </w:rPr>
        <w:t>3,577</w:t>
      </w:r>
      <w:r>
        <w:rPr>
          <w:spacing w:val="-39"/>
          <w:sz w:val="32"/>
        </w:rPr>
        <w:t> 萬餘元，減少 </w:t>
      </w:r>
      <w:r>
        <w:rPr>
          <w:sz w:val="32"/>
        </w:rPr>
        <w:t>1</w:t>
      </w:r>
      <w:r>
        <w:rPr>
          <w:spacing w:val="-55"/>
          <w:sz w:val="32"/>
        </w:rPr>
        <w:t> 億 </w:t>
      </w:r>
      <w:r>
        <w:rPr>
          <w:sz w:val="32"/>
        </w:rPr>
        <w:t>583</w:t>
      </w:r>
    </w:p>
    <w:p>
      <w:pPr>
        <w:spacing w:before="213"/>
        <w:ind w:left="0" w:right="429" w:firstLine="0"/>
        <w:jc w:val="right"/>
        <w:rPr>
          <w:sz w:val="32"/>
        </w:rPr>
      </w:pPr>
      <w:r>
        <w:rPr>
          <w:spacing w:val="-21"/>
          <w:sz w:val="32"/>
        </w:rPr>
        <w:t>萬餘元，約 </w:t>
      </w:r>
      <w:r>
        <w:rPr>
          <w:spacing w:val="-7"/>
          <w:sz w:val="32"/>
        </w:rPr>
        <w:t>0.42</w:t>
      </w:r>
      <w:r>
        <w:rPr>
          <w:spacing w:val="-11"/>
          <w:sz w:val="32"/>
        </w:rPr>
        <w:t>％；歲出決算修正減列 </w:t>
      </w:r>
      <w:r>
        <w:rPr>
          <w:sz w:val="32"/>
        </w:rPr>
        <w:t>411</w:t>
      </w:r>
      <w:r>
        <w:rPr>
          <w:spacing w:val="-21"/>
          <w:sz w:val="32"/>
        </w:rPr>
        <w:t> 萬餘元，並同額增列 </w:t>
      </w:r>
      <w:r>
        <w:rPr>
          <w:sz w:val="32"/>
        </w:rPr>
        <w:t>411</w:t>
      </w:r>
      <w:r>
        <w:rPr>
          <w:spacing w:val="-28"/>
          <w:sz w:val="32"/>
        </w:rPr>
        <w:t> 萬餘</w:t>
      </w:r>
    </w:p>
    <w:p>
      <w:pPr>
        <w:spacing w:before="213"/>
        <w:ind w:left="0" w:right="426" w:firstLine="0"/>
        <w:jc w:val="right"/>
        <w:rPr>
          <w:sz w:val="32"/>
        </w:rPr>
      </w:pPr>
      <w:r>
        <w:rPr>
          <w:spacing w:val="-11"/>
          <w:sz w:val="32"/>
        </w:rPr>
        <w:t>元，審定為 </w:t>
      </w:r>
      <w:r>
        <w:rPr>
          <w:sz w:val="32"/>
        </w:rPr>
        <w:t>228</w:t>
      </w:r>
      <w:r>
        <w:rPr>
          <w:spacing w:val="-47"/>
          <w:sz w:val="32"/>
        </w:rPr>
        <w:t> 億 </w:t>
      </w:r>
      <w:r>
        <w:rPr>
          <w:sz w:val="32"/>
        </w:rPr>
        <w:t>7</w:t>
      </w:r>
      <w:r>
        <w:rPr>
          <w:spacing w:val="-16"/>
          <w:sz w:val="32"/>
        </w:rPr>
        <w:t> 萬餘元，較預算數 </w:t>
      </w:r>
      <w:r>
        <w:rPr>
          <w:sz w:val="32"/>
        </w:rPr>
        <w:t>249</w:t>
      </w:r>
      <w:r>
        <w:rPr>
          <w:spacing w:val="-46"/>
          <w:sz w:val="32"/>
        </w:rPr>
        <w:t> 億 </w:t>
      </w:r>
      <w:r>
        <w:rPr>
          <w:sz w:val="32"/>
        </w:rPr>
        <w:t>9,959</w:t>
      </w:r>
      <w:r>
        <w:rPr>
          <w:spacing w:val="-19"/>
          <w:sz w:val="32"/>
        </w:rPr>
        <w:t> 萬餘元，減少 </w:t>
      </w:r>
      <w:r>
        <w:rPr>
          <w:sz w:val="32"/>
        </w:rPr>
        <w:t>21</w:t>
      </w:r>
      <w:r>
        <w:rPr>
          <w:spacing w:val="-35"/>
          <w:sz w:val="32"/>
        </w:rPr>
        <w:t> 億</w:t>
      </w:r>
    </w:p>
    <w:p>
      <w:pPr>
        <w:spacing w:before="212"/>
        <w:ind w:left="0" w:right="426" w:firstLine="0"/>
        <w:jc w:val="right"/>
        <w:rPr>
          <w:sz w:val="32"/>
        </w:rPr>
      </w:pPr>
      <w:r>
        <w:rPr>
          <w:sz w:val="32"/>
        </w:rPr>
        <w:t>9,952</w:t>
      </w:r>
      <w:r>
        <w:rPr>
          <w:spacing w:val="-34"/>
          <w:sz w:val="32"/>
        </w:rPr>
        <w:t> 萬餘元，約 </w:t>
      </w:r>
      <w:r>
        <w:rPr>
          <w:spacing w:val="-11"/>
          <w:sz w:val="32"/>
        </w:rPr>
        <w:t>8.80</w:t>
      </w:r>
      <w:r>
        <w:rPr>
          <w:spacing w:val="-15"/>
          <w:sz w:val="32"/>
        </w:rPr>
        <w:t>％；歲入歲出相抵，審定賸餘 </w:t>
      </w:r>
      <w:r>
        <w:rPr>
          <w:sz w:val="32"/>
        </w:rPr>
        <w:t>21</w:t>
      </w:r>
      <w:r>
        <w:rPr>
          <w:spacing w:val="-56"/>
          <w:sz w:val="32"/>
        </w:rPr>
        <w:t> 億 </w:t>
      </w:r>
      <w:r>
        <w:rPr>
          <w:sz w:val="32"/>
        </w:rPr>
        <w:t>2,985</w:t>
      </w:r>
      <w:r>
        <w:rPr>
          <w:spacing w:val="-17"/>
          <w:sz w:val="32"/>
        </w:rPr>
        <w:t> 萬餘元，</w:t>
      </w:r>
    </w:p>
    <w:p>
      <w:pPr>
        <w:spacing w:before="213"/>
        <w:ind w:left="0" w:right="429" w:firstLine="0"/>
        <w:jc w:val="right"/>
        <w:rPr>
          <w:sz w:val="32"/>
        </w:rPr>
      </w:pPr>
      <w:r>
        <w:rPr>
          <w:spacing w:val="-12"/>
          <w:sz w:val="32"/>
        </w:rPr>
        <w:t>連同舉借債務 </w:t>
      </w:r>
      <w:r>
        <w:rPr>
          <w:sz w:val="32"/>
        </w:rPr>
        <w:t>59</w:t>
      </w:r>
      <w:r>
        <w:rPr>
          <w:spacing w:val="-56"/>
          <w:sz w:val="32"/>
        </w:rPr>
        <w:t> 億 </w:t>
      </w:r>
      <w:r>
        <w:rPr>
          <w:sz w:val="32"/>
        </w:rPr>
        <w:t>2,325</w:t>
      </w:r>
      <w:r>
        <w:rPr>
          <w:spacing w:val="-32"/>
          <w:sz w:val="32"/>
        </w:rPr>
        <w:t> 萬元，合計 </w:t>
      </w:r>
      <w:r>
        <w:rPr>
          <w:sz w:val="32"/>
        </w:rPr>
        <w:t>80</w:t>
      </w:r>
      <w:r>
        <w:rPr>
          <w:spacing w:val="-56"/>
          <w:sz w:val="32"/>
        </w:rPr>
        <w:t> 億 </w:t>
      </w:r>
      <w:r>
        <w:rPr>
          <w:sz w:val="32"/>
        </w:rPr>
        <w:t>5,310</w:t>
      </w:r>
      <w:r>
        <w:rPr>
          <w:spacing w:val="-23"/>
          <w:sz w:val="32"/>
        </w:rPr>
        <w:t> 萬餘元，經償還債務 </w:t>
      </w:r>
      <w:r>
        <w:rPr>
          <w:sz w:val="32"/>
        </w:rPr>
        <w:t>53</w:t>
      </w:r>
    </w:p>
    <w:p>
      <w:pPr>
        <w:spacing w:before="212"/>
        <w:ind w:left="113" w:right="0" w:firstLine="0"/>
        <w:jc w:val="left"/>
        <w:rPr>
          <w:sz w:val="32"/>
        </w:rPr>
      </w:pPr>
      <w:r>
        <w:rPr>
          <w:spacing w:val="-40"/>
          <w:sz w:val="32"/>
        </w:rPr>
        <w:t>億 </w:t>
      </w:r>
      <w:r>
        <w:rPr>
          <w:sz w:val="32"/>
        </w:rPr>
        <w:t>5,000</w:t>
      </w:r>
      <w:r>
        <w:rPr>
          <w:spacing w:val="-16"/>
          <w:sz w:val="32"/>
        </w:rPr>
        <w:t> 萬元，產生收支賸餘為 </w:t>
      </w:r>
      <w:r>
        <w:rPr>
          <w:sz w:val="32"/>
        </w:rPr>
        <w:t>27</w:t>
      </w:r>
      <w:r>
        <w:rPr>
          <w:spacing w:val="-53"/>
          <w:sz w:val="32"/>
        </w:rPr>
        <w:t> 億 </w:t>
      </w:r>
      <w:r>
        <w:rPr>
          <w:sz w:val="32"/>
        </w:rPr>
        <w:t>310</w:t>
      </w:r>
      <w:r>
        <w:rPr>
          <w:spacing w:val="-17"/>
          <w:sz w:val="32"/>
        </w:rPr>
        <w:t> 萬餘元。</w:t>
      </w:r>
    </w:p>
    <w:p>
      <w:pPr>
        <w:spacing w:after="0"/>
        <w:jc w:val="left"/>
        <w:rPr>
          <w:sz w:val="32"/>
        </w:rPr>
        <w:sectPr>
          <w:footerReference w:type="default" r:id="rId5"/>
          <w:pgSz w:w="11910" w:h="16840"/>
          <w:pgMar w:footer="734" w:header="0" w:top="1320" w:bottom="920" w:left="740" w:right="420"/>
          <w:pgNumType w:start="1"/>
        </w:sectPr>
      </w:pPr>
    </w:p>
    <w:p>
      <w:pPr>
        <w:spacing w:before="17"/>
        <w:ind w:left="0" w:right="430" w:firstLine="0"/>
        <w:jc w:val="right"/>
        <w:rPr>
          <w:sz w:val="32"/>
        </w:rPr>
      </w:pPr>
      <w:r>
        <w:rPr>
          <w:sz w:val="32"/>
        </w:rPr>
        <w:t>109</w:t>
      </w:r>
      <w:r>
        <w:rPr>
          <w:spacing w:val="-5"/>
          <w:sz w:val="32"/>
        </w:rPr>
        <w:t> 年度縣營事業</w:t>
      </w:r>
      <w:r>
        <w:rPr>
          <w:sz w:val="32"/>
        </w:rPr>
        <w:t>（總決算附屬單位決算營業部分）決算審核結果，</w:t>
      </w:r>
    </w:p>
    <w:p>
      <w:pPr>
        <w:spacing w:before="213"/>
        <w:ind w:left="0" w:right="426" w:firstLine="0"/>
        <w:jc w:val="right"/>
        <w:rPr>
          <w:sz w:val="32"/>
        </w:rPr>
      </w:pPr>
      <w:r>
        <w:rPr>
          <w:spacing w:val="-5"/>
          <w:sz w:val="32"/>
        </w:rPr>
        <w:t>綜計修正減列支出 </w:t>
      </w:r>
      <w:r>
        <w:rPr>
          <w:sz w:val="32"/>
        </w:rPr>
        <w:t>35</w:t>
      </w:r>
      <w:r>
        <w:rPr>
          <w:spacing w:val="-10"/>
          <w:sz w:val="32"/>
        </w:rPr>
        <w:t> 萬餘元，審定總收入 </w:t>
      </w:r>
      <w:r>
        <w:rPr>
          <w:sz w:val="32"/>
        </w:rPr>
        <w:t>4,373</w:t>
      </w:r>
      <w:r>
        <w:rPr>
          <w:spacing w:val="-11"/>
          <w:sz w:val="32"/>
        </w:rPr>
        <w:t> 萬餘元，總支出 </w:t>
      </w:r>
      <w:r>
        <w:rPr>
          <w:sz w:val="32"/>
        </w:rPr>
        <w:t>4,317</w:t>
      </w:r>
    </w:p>
    <w:p>
      <w:pPr>
        <w:spacing w:before="213"/>
        <w:ind w:left="0" w:right="429" w:firstLine="0"/>
        <w:jc w:val="right"/>
        <w:rPr>
          <w:sz w:val="32"/>
        </w:rPr>
      </w:pPr>
      <w:r>
        <w:rPr>
          <w:spacing w:val="-5"/>
          <w:sz w:val="32"/>
        </w:rPr>
        <w:t>萬餘元，收支相抵，淨利 </w:t>
      </w:r>
      <w:r>
        <w:rPr>
          <w:sz w:val="32"/>
        </w:rPr>
        <w:t>56</w:t>
      </w:r>
      <w:r>
        <w:rPr>
          <w:spacing w:val="-13"/>
          <w:sz w:val="32"/>
        </w:rPr>
        <w:t> 萬餘元，較預算淨利 </w:t>
      </w:r>
      <w:r>
        <w:rPr>
          <w:sz w:val="32"/>
        </w:rPr>
        <w:t>70</w:t>
      </w:r>
      <w:r>
        <w:rPr>
          <w:spacing w:val="-16"/>
          <w:sz w:val="32"/>
        </w:rPr>
        <w:t> 萬餘元，減少 </w:t>
      </w:r>
      <w:r>
        <w:rPr>
          <w:sz w:val="32"/>
        </w:rPr>
        <w:t>14</w:t>
      </w:r>
      <w:r>
        <w:rPr>
          <w:spacing w:val="-30"/>
          <w:sz w:val="32"/>
        </w:rPr>
        <w:t> 萬</w:t>
      </w:r>
    </w:p>
    <w:p>
      <w:pPr>
        <w:spacing w:before="212"/>
        <w:ind w:left="0" w:right="430" w:firstLine="0"/>
        <w:jc w:val="right"/>
        <w:rPr>
          <w:sz w:val="32"/>
        </w:rPr>
      </w:pPr>
      <w:r>
        <w:rPr>
          <w:spacing w:val="-25"/>
          <w:sz w:val="32"/>
        </w:rPr>
        <w:t>餘元，約 </w:t>
      </w:r>
      <w:r>
        <w:rPr>
          <w:spacing w:val="-4"/>
          <w:sz w:val="32"/>
        </w:rPr>
        <w:t>20.63</w:t>
      </w:r>
      <w:r>
        <w:rPr>
          <w:spacing w:val="-12"/>
          <w:sz w:val="32"/>
        </w:rPr>
        <w:t>％。審定繳庫股息紅利 </w:t>
      </w:r>
      <w:r>
        <w:rPr>
          <w:sz w:val="32"/>
        </w:rPr>
        <w:t>22</w:t>
      </w:r>
      <w:r>
        <w:rPr>
          <w:spacing w:val="-21"/>
          <w:sz w:val="32"/>
        </w:rPr>
        <w:t> 萬餘元，較預算減少 </w:t>
      </w:r>
      <w:r>
        <w:rPr>
          <w:sz w:val="32"/>
        </w:rPr>
        <w:t>5</w:t>
      </w:r>
      <w:r>
        <w:rPr>
          <w:spacing w:val="-17"/>
          <w:sz w:val="32"/>
        </w:rPr>
        <w:t> 萬餘元。</w:t>
      </w:r>
    </w:p>
    <w:p>
      <w:pPr>
        <w:spacing w:line="355" w:lineRule="auto" w:before="213"/>
        <w:ind w:left="112" w:right="422" w:firstLine="623"/>
        <w:jc w:val="right"/>
        <w:rPr>
          <w:sz w:val="32"/>
        </w:rPr>
      </w:pPr>
      <w:r>
        <w:rPr>
          <w:sz w:val="32"/>
        </w:rPr>
        <w:t>109</w:t>
      </w:r>
      <w:r>
        <w:rPr>
          <w:spacing w:val="-5"/>
          <w:sz w:val="32"/>
        </w:rPr>
        <w:t> 年度非營業特種基金</w:t>
      </w:r>
      <w:r>
        <w:rPr>
          <w:sz w:val="32"/>
        </w:rPr>
        <w:t>（總決算附屬單位決算非營業部分）</w:t>
      </w:r>
      <w:r>
        <w:rPr>
          <w:spacing w:val="-5"/>
          <w:sz w:val="32"/>
        </w:rPr>
        <w:t>決算審</w:t>
      </w:r>
      <w:r>
        <w:rPr>
          <w:spacing w:val="-1"/>
          <w:sz w:val="32"/>
        </w:rPr>
        <w:t>核結果，綜計修正減列支出</w:t>
      </w:r>
      <w:r>
        <w:rPr>
          <w:sz w:val="32"/>
        </w:rPr>
        <w:t>（</w:t>
      </w:r>
      <w:r>
        <w:rPr>
          <w:spacing w:val="-2"/>
          <w:sz w:val="32"/>
        </w:rPr>
        <w:t>含基金來源</w:t>
      </w:r>
      <w:r>
        <w:rPr>
          <w:sz w:val="32"/>
        </w:rPr>
        <w:t>）119</w:t>
      </w:r>
      <w:r>
        <w:rPr>
          <w:spacing w:val="-6"/>
          <w:sz w:val="32"/>
        </w:rPr>
        <w:t> 萬餘元，審定總收入</w:t>
      </w:r>
      <w:r>
        <w:rPr>
          <w:sz w:val="32"/>
        </w:rPr>
        <w:t>（含</w:t>
      </w:r>
      <w:r>
        <w:rPr>
          <w:spacing w:val="-1"/>
          <w:sz w:val="32"/>
        </w:rPr>
        <w:t>基金來源</w:t>
      </w:r>
      <w:r>
        <w:rPr>
          <w:spacing w:val="-39"/>
          <w:sz w:val="32"/>
        </w:rPr>
        <w:t>）90</w:t>
      </w:r>
      <w:r>
        <w:rPr>
          <w:spacing w:val="-59"/>
          <w:sz w:val="32"/>
        </w:rPr>
        <w:t> 億 </w:t>
      </w:r>
      <w:r>
        <w:rPr>
          <w:sz w:val="32"/>
        </w:rPr>
        <w:t>5,860</w:t>
      </w:r>
      <w:r>
        <w:rPr>
          <w:spacing w:val="-42"/>
          <w:sz w:val="32"/>
        </w:rPr>
        <w:t> 萬餘元，總支出</w:t>
      </w:r>
      <w:r>
        <w:rPr>
          <w:spacing w:val="-3"/>
          <w:sz w:val="32"/>
        </w:rPr>
        <w:t>（含基金用途</w:t>
      </w:r>
      <w:r>
        <w:rPr>
          <w:spacing w:val="-39"/>
          <w:sz w:val="32"/>
        </w:rPr>
        <w:t>）87</w:t>
      </w:r>
      <w:r>
        <w:rPr>
          <w:spacing w:val="-59"/>
          <w:sz w:val="32"/>
        </w:rPr>
        <w:t> 億 </w:t>
      </w:r>
      <w:r>
        <w:rPr>
          <w:sz w:val="32"/>
        </w:rPr>
        <w:t>6,352</w:t>
      </w:r>
      <w:r>
        <w:rPr>
          <w:spacing w:val="-19"/>
          <w:sz w:val="32"/>
        </w:rPr>
        <w:t> 萬餘元，</w:t>
      </w:r>
      <w:r>
        <w:rPr>
          <w:spacing w:val="-41"/>
          <w:sz w:val="32"/>
        </w:rPr>
        <w:t>賸餘 </w:t>
      </w:r>
      <w:r>
        <w:rPr>
          <w:sz w:val="32"/>
        </w:rPr>
        <w:t>2</w:t>
      </w:r>
      <w:r>
        <w:rPr>
          <w:spacing w:val="-57"/>
          <w:sz w:val="32"/>
        </w:rPr>
        <w:t> 億 </w:t>
      </w:r>
      <w:r>
        <w:rPr>
          <w:sz w:val="32"/>
        </w:rPr>
        <w:t>9,507</w:t>
      </w:r>
      <w:r>
        <w:rPr>
          <w:spacing w:val="-24"/>
          <w:sz w:val="32"/>
        </w:rPr>
        <w:t> 萬餘元，與預算短絀 </w:t>
      </w:r>
      <w:r>
        <w:rPr>
          <w:sz w:val="32"/>
        </w:rPr>
        <w:t>2</w:t>
      </w:r>
      <w:r>
        <w:rPr>
          <w:spacing w:val="-57"/>
          <w:sz w:val="32"/>
        </w:rPr>
        <w:t> 億 </w:t>
      </w:r>
      <w:r>
        <w:rPr>
          <w:sz w:val="32"/>
        </w:rPr>
        <w:t>95</w:t>
      </w:r>
      <w:r>
        <w:rPr>
          <w:spacing w:val="-32"/>
          <w:sz w:val="32"/>
        </w:rPr>
        <w:t> 萬餘元，相距 </w:t>
      </w:r>
      <w:r>
        <w:rPr>
          <w:sz w:val="32"/>
        </w:rPr>
        <w:t>4</w:t>
      </w:r>
      <w:r>
        <w:rPr>
          <w:spacing w:val="-57"/>
          <w:sz w:val="32"/>
        </w:rPr>
        <w:t> 億 </w:t>
      </w:r>
      <w:r>
        <w:rPr>
          <w:sz w:val="32"/>
        </w:rPr>
        <w:t>9,603</w:t>
      </w:r>
      <w:r>
        <w:rPr>
          <w:spacing w:val="-29"/>
          <w:sz w:val="32"/>
        </w:rPr>
        <w:t> 萬餘</w:t>
      </w:r>
      <w:r>
        <w:rPr>
          <w:spacing w:val="-19"/>
          <w:sz w:val="32"/>
        </w:rPr>
        <w:t>元。審定解繳縣庫 </w:t>
      </w:r>
      <w:r>
        <w:rPr>
          <w:sz w:val="32"/>
        </w:rPr>
        <w:t>678</w:t>
      </w:r>
      <w:r>
        <w:rPr>
          <w:spacing w:val="-19"/>
          <w:sz w:val="32"/>
        </w:rPr>
        <w:t> 萬餘元，較預算減少 </w:t>
      </w:r>
      <w:r>
        <w:rPr>
          <w:sz w:val="32"/>
        </w:rPr>
        <w:t>109</w:t>
      </w:r>
      <w:r>
        <w:rPr>
          <w:spacing w:val="-25"/>
          <w:sz w:val="32"/>
        </w:rPr>
        <w:t> 萬餘元，約為 </w:t>
      </w:r>
      <w:r>
        <w:rPr>
          <w:sz w:val="32"/>
        </w:rPr>
        <w:t>13.87％。</w:t>
      </w:r>
      <w:r>
        <w:rPr>
          <w:w w:val="99"/>
          <w:sz w:val="32"/>
        </w:rPr>
        <w:t> </w:t>
      </w:r>
      <w:r>
        <w:rPr>
          <w:sz w:val="32"/>
        </w:rPr>
        <w:t>109</w:t>
      </w:r>
      <w:r>
        <w:rPr>
          <w:spacing w:val="-5"/>
          <w:sz w:val="32"/>
        </w:rPr>
        <w:t> 年度花蓮縣總預算歲入、歲出之執行，尚能與施政計畫相配合，</w:t>
      </w:r>
    </w:p>
    <w:p>
      <w:pPr>
        <w:spacing w:line="434" w:lineRule="exact" w:before="0"/>
        <w:ind w:left="111" w:right="0" w:firstLine="0"/>
        <w:jc w:val="left"/>
        <w:rPr>
          <w:sz w:val="32"/>
        </w:rPr>
      </w:pPr>
      <w:r>
        <w:rPr>
          <w:spacing w:val="-5"/>
          <w:sz w:val="32"/>
        </w:rPr>
        <w:t>總決算經常門收支賸餘 </w:t>
      </w:r>
      <w:r>
        <w:rPr>
          <w:sz w:val="32"/>
        </w:rPr>
        <w:t>76</w:t>
      </w:r>
      <w:r>
        <w:rPr>
          <w:spacing w:val="-35"/>
          <w:sz w:val="32"/>
        </w:rPr>
        <w:t> 億 </w:t>
      </w:r>
      <w:r>
        <w:rPr>
          <w:sz w:val="32"/>
        </w:rPr>
        <w:t>8,523</w:t>
      </w:r>
      <w:r>
        <w:rPr>
          <w:spacing w:val="-8"/>
          <w:sz w:val="32"/>
        </w:rPr>
        <w:t> 萬餘元支應資本門短絀後，產生賸餘</w:t>
      </w:r>
    </w:p>
    <w:p>
      <w:pPr>
        <w:spacing w:before="212"/>
        <w:ind w:left="112" w:right="0" w:firstLine="0"/>
        <w:jc w:val="left"/>
        <w:rPr>
          <w:sz w:val="32"/>
        </w:rPr>
      </w:pPr>
      <w:r>
        <w:rPr>
          <w:sz w:val="32"/>
        </w:rPr>
        <w:t>21</w:t>
      </w:r>
      <w:r>
        <w:rPr>
          <w:spacing w:val="-54"/>
          <w:sz w:val="32"/>
        </w:rPr>
        <w:t> 億 </w:t>
      </w:r>
      <w:r>
        <w:rPr>
          <w:sz w:val="32"/>
        </w:rPr>
        <w:t>2,985</w:t>
      </w:r>
      <w:r>
        <w:rPr>
          <w:spacing w:val="-30"/>
          <w:sz w:val="32"/>
        </w:rPr>
        <w:t> 萬餘元。截至 </w:t>
      </w:r>
      <w:r>
        <w:rPr>
          <w:sz w:val="32"/>
        </w:rPr>
        <w:t>109</w:t>
      </w:r>
      <w:r>
        <w:rPr>
          <w:spacing w:val="-27"/>
          <w:sz w:val="32"/>
        </w:rPr>
        <w:t> 年度止，花蓮縣 </w:t>
      </w:r>
      <w:r>
        <w:rPr>
          <w:sz w:val="32"/>
        </w:rPr>
        <w:t>1</w:t>
      </w:r>
      <w:r>
        <w:rPr>
          <w:spacing w:val="-10"/>
          <w:sz w:val="32"/>
        </w:rPr>
        <w:t> 年以上公共債務未償餘額</w:t>
      </w:r>
    </w:p>
    <w:p>
      <w:pPr>
        <w:spacing w:before="213"/>
        <w:ind w:left="112" w:right="0" w:firstLine="0"/>
        <w:jc w:val="left"/>
        <w:rPr>
          <w:sz w:val="32"/>
        </w:rPr>
      </w:pPr>
      <w:r>
        <w:rPr>
          <w:spacing w:val="-14"/>
          <w:sz w:val="32"/>
        </w:rPr>
        <w:t>決算審定數 </w:t>
      </w:r>
      <w:r>
        <w:rPr>
          <w:sz w:val="32"/>
        </w:rPr>
        <w:t>79</w:t>
      </w:r>
      <w:r>
        <w:rPr>
          <w:spacing w:val="-20"/>
          <w:sz w:val="32"/>
        </w:rPr>
        <w:t> 億元，連同未滿 </w:t>
      </w:r>
      <w:r>
        <w:rPr>
          <w:sz w:val="32"/>
        </w:rPr>
        <w:t>1</w:t>
      </w:r>
      <w:r>
        <w:rPr>
          <w:spacing w:val="-17"/>
          <w:sz w:val="32"/>
        </w:rPr>
        <w:t> 年公共債務未償餘額 </w:t>
      </w:r>
      <w:r>
        <w:rPr>
          <w:sz w:val="32"/>
        </w:rPr>
        <w:t>37</w:t>
      </w:r>
      <w:r>
        <w:rPr>
          <w:spacing w:val="-55"/>
          <w:sz w:val="32"/>
        </w:rPr>
        <w:t> 億 </w:t>
      </w:r>
      <w:r>
        <w:rPr>
          <w:sz w:val="32"/>
        </w:rPr>
        <w:t>7,000</w:t>
      </w:r>
      <w:r>
        <w:rPr>
          <w:spacing w:val="-21"/>
          <w:sz w:val="32"/>
        </w:rPr>
        <w:t> 萬元，</w:t>
      </w:r>
    </w:p>
    <w:p>
      <w:pPr>
        <w:spacing w:before="213"/>
        <w:ind w:left="113" w:right="0" w:firstLine="0"/>
        <w:jc w:val="left"/>
        <w:rPr>
          <w:sz w:val="32"/>
        </w:rPr>
      </w:pPr>
      <w:r>
        <w:rPr>
          <w:spacing w:val="-11"/>
          <w:sz w:val="32"/>
        </w:rPr>
        <w:t>合計為 </w:t>
      </w:r>
      <w:r>
        <w:rPr>
          <w:sz w:val="32"/>
        </w:rPr>
        <w:t>116</w:t>
      </w:r>
      <w:r>
        <w:rPr>
          <w:spacing w:val="-31"/>
          <w:sz w:val="32"/>
        </w:rPr>
        <w:t> 億 </w:t>
      </w:r>
      <w:r>
        <w:rPr>
          <w:sz w:val="32"/>
        </w:rPr>
        <w:t>7,000</w:t>
      </w:r>
      <w:r>
        <w:rPr>
          <w:spacing w:val="-16"/>
          <w:sz w:val="32"/>
        </w:rPr>
        <w:t> 萬元，較 </w:t>
      </w:r>
      <w:r>
        <w:rPr>
          <w:sz w:val="32"/>
        </w:rPr>
        <w:t>108</w:t>
      </w:r>
      <w:r>
        <w:rPr>
          <w:spacing w:val="-10"/>
          <w:sz w:val="32"/>
        </w:rPr>
        <w:t> 年度公共債務餘額決算審定數 </w:t>
      </w:r>
      <w:r>
        <w:rPr>
          <w:sz w:val="32"/>
        </w:rPr>
        <w:t>119</w:t>
      </w:r>
      <w:r>
        <w:rPr>
          <w:spacing w:val="-24"/>
          <w:sz w:val="32"/>
        </w:rPr>
        <w:t> 億</w:t>
      </w:r>
    </w:p>
    <w:p>
      <w:pPr>
        <w:spacing w:before="212"/>
        <w:ind w:left="114" w:right="0" w:firstLine="0"/>
        <w:jc w:val="left"/>
        <w:rPr>
          <w:sz w:val="32"/>
        </w:rPr>
      </w:pPr>
      <w:r>
        <w:rPr>
          <w:sz w:val="32"/>
        </w:rPr>
        <w:t>2,000</w:t>
      </w:r>
      <w:r>
        <w:rPr>
          <w:spacing w:val="-23"/>
          <w:sz w:val="32"/>
        </w:rPr>
        <w:t> 萬元，減少 </w:t>
      </w:r>
      <w:r>
        <w:rPr>
          <w:sz w:val="32"/>
        </w:rPr>
        <w:t>2</w:t>
      </w:r>
      <w:r>
        <w:rPr>
          <w:spacing w:val="-49"/>
          <w:sz w:val="32"/>
        </w:rPr>
        <w:t> 億 </w:t>
      </w:r>
      <w:r>
        <w:rPr>
          <w:sz w:val="32"/>
        </w:rPr>
        <w:t>5,000</w:t>
      </w:r>
      <w:r>
        <w:rPr>
          <w:spacing w:val="-9"/>
          <w:sz w:val="32"/>
        </w:rPr>
        <w:t> 萬元；惟除前述公共債務法規範之債務外，</w:t>
      </w:r>
    </w:p>
    <w:p>
      <w:pPr>
        <w:spacing w:line="355" w:lineRule="auto" w:before="213"/>
        <w:ind w:left="114" w:right="427" w:firstLine="0"/>
        <w:jc w:val="both"/>
        <w:rPr>
          <w:sz w:val="32"/>
        </w:rPr>
      </w:pPr>
      <w:r>
        <w:rPr>
          <w:spacing w:val="-3"/>
          <w:sz w:val="32"/>
        </w:rPr>
        <w:t>尚有未列入債限管制之青年住宅自償性債務 </w:t>
      </w:r>
      <w:r>
        <w:rPr>
          <w:sz w:val="32"/>
        </w:rPr>
        <w:t>11</w:t>
      </w:r>
      <w:r>
        <w:rPr>
          <w:spacing w:val="-35"/>
          <w:sz w:val="32"/>
        </w:rPr>
        <w:t> 億 </w:t>
      </w:r>
      <w:r>
        <w:rPr>
          <w:sz w:val="32"/>
        </w:rPr>
        <w:t>8,788</w:t>
      </w:r>
      <w:r>
        <w:rPr>
          <w:spacing w:val="-10"/>
          <w:sz w:val="32"/>
        </w:rPr>
        <w:t> 萬元，總體債務</w:t>
      </w:r>
      <w:r>
        <w:rPr>
          <w:spacing w:val="-7"/>
          <w:sz w:val="32"/>
        </w:rPr>
        <w:t>負擔仍屬沉重，亟待檢視各項施政計畫執行成效，加強控管收支優先順序及規模，策劃開源節流措施與落實財政紀律管理，期能兼顧地方財政健全</w:t>
      </w:r>
      <w:r>
        <w:rPr>
          <w:sz w:val="32"/>
        </w:rPr>
        <w:t>與衡平建設永續發展。</w:t>
      </w:r>
    </w:p>
    <w:p>
      <w:pPr>
        <w:spacing w:line="355" w:lineRule="auto" w:before="0"/>
        <w:ind w:left="111" w:right="422" w:firstLine="823"/>
        <w:jc w:val="left"/>
        <w:rPr>
          <w:sz w:val="32"/>
        </w:rPr>
      </w:pPr>
      <w:r>
        <w:rPr>
          <w:sz w:val="32"/>
        </w:rPr>
        <w:t>縣府為策劃增進縣民之生活品質，依行政院訂頒之「花東地區永續</w:t>
      </w:r>
      <w:r>
        <w:rPr>
          <w:w w:val="95"/>
          <w:sz w:val="32"/>
        </w:rPr>
        <w:t>發展策略計畫」做為上位指導原則，擬定四年一期之縣綜合發展實施方案，</w:t>
      </w:r>
    </w:p>
    <w:p>
      <w:pPr>
        <w:spacing w:after="0" w:line="355" w:lineRule="auto"/>
        <w:jc w:val="left"/>
        <w:rPr>
          <w:sz w:val="32"/>
        </w:rPr>
        <w:sectPr>
          <w:pgSz w:w="11910" w:h="16840"/>
          <w:pgMar w:header="0" w:footer="734" w:top="1420" w:bottom="920" w:left="740" w:right="420"/>
        </w:sectPr>
      </w:pPr>
    </w:p>
    <w:p>
      <w:pPr>
        <w:spacing w:line="355" w:lineRule="auto" w:before="17"/>
        <w:ind w:left="111" w:right="342" w:firstLine="0"/>
        <w:jc w:val="both"/>
        <w:rPr>
          <w:sz w:val="32"/>
        </w:rPr>
      </w:pPr>
      <w:r>
        <w:rPr>
          <w:spacing w:val="-3"/>
          <w:sz w:val="32"/>
        </w:rPr>
        <w:t>第三期</w:t>
      </w:r>
      <w:r>
        <w:rPr>
          <w:sz w:val="32"/>
        </w:rPr>
        <w:t>（109-112</w:t>
      </w:r>
      <w:r>
        <w:rPr>
          <w:spacing w:val="-42"/>
          <w:sz w:val="32"/>
        </w:rPr>
        <w:t> 年</w:t>
      </w:r>
      <w:r>
        <w:rPr>
          <w:spacing w:val="-8"/>
          <w:sz w:val="32"/>
        </w:rPr>
        <w:t>）</w:t>
      </w:r>
      <w:r>
        <w:rPr>
          <w:spacing w:val="-3"/>
          <w:sz w:val="32"/>
        </w:rPr>
        <w:t>綜合發展實施方案係以「花蓮創生、</w:t>
      </w:r>
      <w:r>
        <w:rPr>
          <w:sz w:val="32"/>
        </w:rPr>
        <w:t>5G</w:t>
      </w:r>
      <w:r>
        <w:rPr>
          <w:spacing w:val="-16"/>
          <w:sz w:val="32"/>
        </w:rPr>
        <w:t> 家園、智慧</w:t>
      </w:r>
      <w:r>
        <w:rPr>
          <w:spacing w:val="-6"/>
          <w:sz w:val="32"/>
        </w:rPr>
        <w:t>城市」為施政願景，並基於地方發展特性，以「在地培力</w:t>
      </w:r>
      <w:r>
        <w:rPr>
          <w:sz w:val="32"/>
        </w:rPr>
        <w:t>（人</w:t>
      </w:r>
      <w:r>
        <w:rPr>
          <w:spacing w:val="-5"/>
          <w:sz w:val="32"/>
        </w:rPr>
        <w:t>）</w:t>
      </w:r>
      <w:r>
        <w:rPr>
          <w:spacing w:val="-3"/>
          <w:sz w:val="32"/>
        </w:rPr>
        <w:t>」、「創新魅力</w:t>
      </w:r>
      <w:r>
        <w:rPr>
          <w:sz w:val="32"/>
        </w:rPr>
        <w:t>（地</w:t>
      </w:r>
      <w:r>
        <w:rPr>
          <w:spacing w:val="-5"/>
          <w:sz w:val="32"/>
        </w:rPr>
        <w:t>）」、「翻轉創生</w:t>
      </w:r>
      <w:r>
        <w:rPr>
          <w:sz w:val="32"/>
        </w:rPr>
        <w:t>（產</w:t>
      </w:r>
      <w:r>
        <w:rPr>
          <w:spacing w:val="-3"/>
          <w:sz w:val="32"/>
        </w:rPr>
        <w:t>）」三大目標，提出均衡發展之行動計畫，包括：一、厚實地方認同，培育在地產業人才；二、兼容多元文化、</w:t>
      </w:r>
      <w:r>
        <w:rPr>
          <w:spacing w:val="-4"/>
          <w:sz w:val="32"/>
        </w:rPr>
        <w:t>推動原民文化傳承；三、保育生態棲地，打造低碳故鄉；四、強化智慧防災設施，構築安全城鄉；五、整合社福資源，建構智慧醫療；六、整合多元運具，建構人本運輸；七、支持青年創業，提供創業有利環境；八、整</w:t>
      </w:r>
      <w:r>
        <w:rPr>
          <w:spacing w:val="-21"/>
          <w:sz w:val="32"/>
        </w:rPr>
        <w:t>合觀光產業，營造深度旅遊條件；九、建構資訊社會，創造數位產業發展； 十、輔導產業轉型，促進產業再生等施政重點。各項政事推動執行結果， </w:t>
      </w:r>
      <w:r>
        <w:rPr>
          <w:spacing w:val="-9"/>
          <w:sz w:val="32"/>
        </w:rPr>
        <w:t>整體而言，尚能符合既定施政目標，並獲致成果，包括：花蓮縣衛生局之</w:t>
      </w:r>
      <w:r>
        <w:rPr>
          <w:spacing w:val="-15"/>
          <w:sz w:val="32"/>
        </w:rPr>
        <w:t>衛生保健業務，經衛生福利部辦理 </w:t>
      </w:r>
      <w:r>
        <w:rPr>
          <w:sz w:val="32"/>
        </w:rPr>
        <w:t>109</w:t>
      </w:r>
      <w:r>
        <w:rPr>
          <w:spacing w:val="-10"/>
          <w:sz w:val="32"/>
        </w:rPr>
        <w:t> 年度地方衛生機關業務考評綜合獎</w:t>
      </w:r>
    </w:p>
    <w:p>
      <w:pPr>
        <w:spacing w:line="423" w:lineRule="exact" w:before="0"/>
        <w:ind w:left="111" w:right="0" w:firstLine="0"/>
        <w:jc w:val="both"/>
        <w:rPr>
          <w:sz w:val="32"/>
        </w:rPr>
      </w:pPr>
      <w:r>
        <w:rPr>
          <w:spacing w:val="-17"/>
          <w:sz w:val="32"/>
        </w:rPr>
        <w:t>第四組第 </w:t>
      </w:r>
      <w:r>
        <w:rPr>
          <w:sz w:val="32"/>
        </w:rPr>
        <w:t>2</w:t>
      </w:r>
      <w:r>
        <w:rPr>
          <w:spacing w:val="-11"/>
          <w:sz w:val="32"/>
        </w:rPr>
        <w:t> 名，在流感疫苗接種計畫、心理及口腔健康業務、地方衛生機</w:t>
      </w:r>
    </w:p>
    <w:p>
      <w:pPr>
        <w:spacing w:line="355" w:lineRule="auto" w:before="213"/>
        <w:ind w:left="111" w:right="427" w:firstLine="0"/>
        <w:jc w:val="both"/>
        <w:rPr>
          <w:sz w:val="32"/>
        </w:rPr>
      </w:pPr>
      <w:r>
        <w:rPr>
          <w:spacing w:val="-11"/>
          <w:sz w:val="32"/>
        </w:rPr>
        <w:t>關食品藥物類等 </w:t>
      </w:r>
      <w:r>
        <w:rPr>
          <w:sz w:val="32"/>
        </w:rPr>
        <w:t>3</w:t>
      </w:r>
      <w:r>
        <w:rPr>
          <w:spacing w:val="-11"/>
          <w:sz w:val="32"/>
        </w:rPr>
        <w:t> 項，獲分組優等獎；花蓮縣警察局之警政業務，經內政</w:t>
      </w:r>
      <w:r>
        <w:rPr>
          <w:spacing w:val="-14"/>
          <w:sz w:val="32"/>
        </w:rPr>
        <w:t>部警政署考核結果，</w:t>
      </w:r>
      <w:r>
        <w:rPr>
          <w:spacing w:val="-7"/>
          <w:sz w:val="32"/>
        </w:rPr>
        <w:t>109</w:t>
      </w:r>
      <w:r>
        <w:rPr>
          <w:spacing w:val="-34"/>
          <w:sz w:val="32"/>
        </w:rPr>
        <w:t> 年度第 </w:t>
      </w:r>
      <w:r>
        <w:rPr>
          <w:sz w:val="32"/>
        </w:rPr>
        <w:t>1</w:t>
      </w:r>
      <w:r>
        <w:rPr>
          <w:spacing w:val="-13"/>
          <w:sz w:val="32"/>
        </w:rPr>
        <w:t> 階段擴大臨檢工作評核成績為特優、</w:t>
      </w:r>
      <w:r>
        <w:rPr>
          <w:sz w:val="32"/>
        </w:rPr>
        <w:t>109 年度婦幼安全工作獲評甲等、109</w:t>
      </w:r>
      <w:r>
        <w:rPr>
          <w:spacing w:val="-7"/>
          <w:sz w:val="32"/>
        </w:rPr>
        <w:t> 年上、下半年查捕逃犯工作績效獲評第1</w:t>
      </w:r>
      <w:r>
        <w:rPr>
          <w:spacing w:val="-8"/>
          <w:sz w:val="32"/>
        </w:rPr>
        <w:t> 等第；交通業務之「交通安全教育」、「交通執法」與「公路監理」等</w:t>
      </w:r>
    </w:p>
    <w:p>
      <w:pPr>
        <w:spacing w:line="355" w:lineRule="auto" w:before="0"/>
        <w:ind w:left="111" w:right="428" w:firstLine="0"/>
        <w:jc w:val="both"/>
        <w:rPr>
          <w:sz w:val="32"/>
        </w:rPr>
      </w:pPr>
      <w:r>
        <w:rPr>
          <w:sz w:val="32"/>
        </w:rPr>
        <w:t>3</w:t>
      </w:r>
      <w:r>
        <w:rPr>
          <w:spacing w:val="-14"/>
          <w:sz w:val="32"/>
        </w:rPr>
        <w:t> 項業務，獲交通部考評為第 </w:t>
      </w:r>
      <w:r>
        <w:rPr>
          <w:sz w:val="32"/>
        </w:rPr>
        <w:t>3</w:t>
      </w:r>
      <w:r>
        <w:rPr>
          <w:spacing w:val="-37"/>
          <w:sz w:val="32"/>
        </w:rPr>
        <w:t> 組第 </w:t>
      </w:r>
      <w:r>
        <w:rPr>
          <w:sz w:val="32"/>
        </w:rPr>
        <w:t>1</w:t>
      </w:r>
      <w:r>
        <w:rPr>
          <w:spacing w:val="-10"/>
          <w:sz w:val="32"/>
        </w:rPr>
        <w:t> 名。花蓮縣環境保護局之環境保護</w:t>
      </w:r>
      <w:r>
        <w:rPr>
          <w:sz w:val="32"/>
        </w:rPr>
        <w:t>業務，經行政院環境保護署考核結果，109</w:t>
      </w:r>
      <w:r>
        <w:rPr>
          <w:spacing w:val="-7"/>
          <w:sz w:val="32"/>
        </w:rPr>
        <w:t> 年度空氣污染、噪音及室內空</w:t>
      </w:r>
      <w:r>
        <w:rPr>
          <w:spacing w:val="-22"/>
          <w:sz w:val="32"/>
        </w:rPr>
        <w:t>氣品質管制、土壤及地下水污染整治、廢棄物資源循環零廢棄、環境教育、</w:t>
      </w:r>
      <w:r>
        <w:rPr>
          <w:spacing w:val="-5"/>
          <w:sz w:val="32"/>
        </w:rPr>
        <w:t>環境影響評估審查及監督、資源回收工作績效、綠色生活推廣等項，獲分</w:t>
      </w:r>
      <w:r>
        <w:rPr>
          <w:spacing w:val="-6"/>
          <w:sz w:val="32"/>
        </w:rPr>
        <w:t>組優等獎；在一般性補助款考核結果，在「四大面向成績全部超過 </w:t>
      </w:r>
      <w:r>
        <w:rPr>
          <w:sz w:val="32"/>
        </w:rPr>
        <w:t>80</w:t>
      </w:r>
      <w:r>
        <w:rPr>
          <w:spacing w:val="-11"/>
          <w:sz w:val="32"/>
        </w:rPr>
        <w:t> 分</w:t>
      </w:r>
    </w:p>
    <w:p>
      <w:pPr>
        <w:spacing w:after="0" w:line="355" w:lineRule="auto"/>
        <w:jc w:val="both"/>
        <w:rPr>
          <w:sz w:val="32"/>
        </w:rPr>
        <w:sectPr>
          <w:pgSz w:w="11910" w:h="16840"/>
          <w:pgMar w:header="0" w:footer="734" w:top="1420" w:bottom="920" w:left="740" w:right="420"/>
        </w:sectPr>
      </w:pPr>
    </w:p>
    <w:p>
      <w:pPr>
        <w:spacing w:line="355" w:lineRule="auto" w:before="17"/>
        <w:ind w:left="111" w:right="110" w:firstLine="0"/>
        <w:jc w:val="left"/>
        <w:rPr>
          <w:sz w:val="32"/>
        </w:rPr>
      </w:pPr>
      <w:r>
        <w:rPr>
          <w:sz w:val="32"/>
        </w:rPr>
        <w:t>之超出分數</w:t>
      </w:r>
      <w:r>
        <w:rPr>
          <w:spacing w:val="-29"/>
          <w:sz w:val="32"/>
        </w:rPr>
        <w:t>」、「四大面向總成績較前一年度進度之超出分數」分別為縣</w:t>
      </w:r>
      <w:r>
        <w:rPr>
          <w:sz w:val="32"/>
        </w:rPr>
        <w:t>（市</w:t>
      </w:r>
      <w:r>
        <w:rPr>
          <w:spacing w:val="-11"/>
          <w:sz w:val="32"/>
        </w:rPr>
        <w:t>） </w:t>
      </w:r>
      <w:r>
        <w:rPr>
          <w:spacing w:val="-16"/>
          <w:sz w:val="32"/>
        </w:rPr>
        <w:t>組第 </w:t>
      </w:r>
      <w:r>
        <w:rPr>
          <w:sz w:val="32"/>
        </w:rPr>
        <w:t>1、3</w:t>
      </w:r>
      <w:r>
        <w:rPr>
          <w:spacing w:val="-11"/>
          <w:sz w:val="32"/>
        </w:rPr>
        <w:t> 名，獲額外分配補助 </w:t>
      </w:r>
      <w:r>
        <w:rPr>
          <w:sz w:val="32"/>
        </w:rPr>
        <w:t>1,956</w:t>
      </w:r>
      <w:r>
        <w:rPr>
          <w:spacing w:val="-8"/>
          <w:sz w:val="32"/>
        </w:rPr>
        <w:t> 萬餘元。縣府團隊為整體防疫與自然環境劇烈變動，戮力掌握民心所向、積極解決民怨問題，部分施政計畫 經</w:t>
      </w:r>
      <w:r>
        <w:rPr>
          <w:spacing w:val="-10"/>
          <w:sz w:val="32"/>
        </w:rPr>
        <w:t>中央政府評鑑執行成績尚有策進空間，允宜善用在地特色資源與結合民 間</w:t>
      </w:r>
      <w:r>
        <w:rPr>
          <w:spacing w:val="-5"/>
          <w:sz w:val="32"/>
        </w:rPr>
        <w:t>資力，滾動調整措施方略，擘劃地方良善治理，落實發展優先構面，繁 榮區域產業經濟，提升總體施政效能與營造人民幸福好感。</w:t>
      </w:r>
    </w:p>
    <w:p>
      <w:pPr>
        <w:spacing w:line="434" w:lineRule="exact" w:before="0"/>
        <w:ind w:left="736" w:right="0" w:firstLine="0"/>
        <w:jc w:val="left"/>
        <w:rPr>
          <w:sz w:val="32"/>
        </w:rPr>
      </w:pPr>
      <w:r>
        <w:rPr>
          <w:sz w:val="32"/>
        </w:rPr>
        <w:t>本室辦理各項審計業務，秉持獨立、廉正、專業、創新之核心價值，</w:t>
      </w:r>
    </w:p>
    <w:p>
      <w:pPr>
        <w:spacing w:line="355" w:lineRule="auto" w:before="213"/>
        <w:ind w:left="112" w:right="429" w:firstLine="0"/>
        <w:jc w:val="both"/>
        <w:rPr>
          <w:sz w:val="32"/>
        </w:rPr>
      </w:pPr>
      <w:r>
        <w:rPr>
          <w:spacing w:val="-6"/>
          <w:sz w:val="32"/>
        </w:rPr>
        <w:t>財務審計、遵循審計及績效審計並重，冀能踐行優質審計服務，創造最大審計價值，強化政府良善治理，實現國家永續發展。109</w:t>
      </w:r>
      <w:r>
        <w:rPr>
          <w:spacing w:val="-8"/>
          <w:sz w:val="32"/>
        </w:rPr>
        <w:t> 年度審核花蓮縣</w:t>
      </w:r>
      <w:r>
        <w:rPr>
          <w:spacing w:val="-6"/>
          <w:sz w:val="32"/>
        </w:rPr>
        <w:t>各機關財務收支，在合法性審計方面，稽察發現財務違失機關未為負責之</w:t>
      </w:r>
      <w:r>
        <w:rPr>
          <w:spacing w:val="-10"/>
          <w:sz w:val="32"/>
        </w:rPr>
        <w:t>答復，依法報請監察院核處者 </w:t>
      </w:r>
      <w:r>
        <w:rPr>
          <w:sz w:val="32"/>
        </w:rPr>
        <w:t>1</w:t>
      </w:r>
      <w:r>
        <w:rPr>
          <w:spacing w:val="-16"/>
          <w:sz w:val="32"/>
        </w:rPr>
        <w:t> 件，通知各機關查明處分者 </w:t>
      </w:r>
      <w:r>
        <w:rPr>
          <w:sz w:val="32"/>
        </w:rPr>
        <w:t>6</w:t>
      </w:r>
      <w:r>
        <w:rPr>
          <w:spacing w:val="-17"/>
          <w:sz w:val="32"/>
        </w:rPr>
        <w:t> 件，受處分</w:t>
      </w:r>
    </w:p>
    <w:p>
      <w:pPr>
        <w:spacing w:line="355" w:lineRule="auto" w:before="0"/>
        <w:ind w:left="112" w:right="427" w:firstLine="0"/>
        <w:jc w:val="both"/>
        <w:rPr>
          <w:sz w:val="32"/>
        </w:rPr>
      </w:pPr>
      <w:r>
        <w:rPr>
          <w:spacing w:val="-13"/>
          <w:sz w:val="32"/>
        </w:rPr>
        <w:t>人員計 </w:t>
      </w:r>
      <w:r>
        <w:rPr>
          <w:sz w:val="32"/>
        </w:rPr>
        <w:t>17</w:t>
      </w:r>
      <w:r>
        <w:rPr>
          <w:spacing w:val="-11"/>
          <w:sz w:val="32"/>
        </w:rPr>
        <w:t> 人次；依法修正增列歲入通知繳庫 </w:t>
      </w:r>
      <w:r>
        <w:rPr>
          <w:sz w:val="32"/>
        </w:rPr>
        <w:t>2,812</w:t>
      </w:r>
      <w:r>
        <w:rPr>
          <w:spacing w:val="-9"/>
          <w:sz w:val="32"/>
        </w:rPr>
        <w:t> 萬餘元。在效能性審</w:t>
      </w:r>
      <w:r>
        <w:rPr>
          <w:spacing w:val="-6"/>
          <w:sz w:val="32"/>
        </w:rPr>
        <w:t>計方面，考核各機關施政績效結果，認為有未盡職責或效能過低情事，經</w:t>
      </w:r>
      <w:r>
        <w:rPr>
          <w:spacing w:val="-5"/>
          <w:sz w:val="32"/>
        </w:rPr>
        <w:t>依法通知其上級機關長官並報告監察院者 </w:t>
      </w:r>
      <w:r>
        <w:rPr>
          <w:sz w:val="32"/>
        </w:rPr>
        <w:t>2</w:t>
      </w:r>
      <w:r>
        <w:rPr>
          <w:spacing w:val="-12"/>
          <w:sz w:val="32"/>
        </w:rPr>
        <w:t> 件；另依法提供花蓮縣政府有</w:t>
      </w:r>
    </w:p>
    <w:p>
      <w:pPr>
        <w:spacing w:line="441" w:lineRule="exact" w:before="0"/>
        <w:ind w:left="112" w:right="0" w:firstLine="0"/>
        <w:jc w:val="both"/>
        <w:rPr>
          <w:sz w:val="32"/>
        </w:rPr>
      </w:pPr>
      <w:r>
        <w:rPr>
          <w:spacing w:val="-4"/>
          <w:sz w:val="32"/>
        </w:rPr>
        <w:t>關財務上增進效能與減少不經濟支出之建議意見 </w:t>
      </w:r>
      <w:r>
        <w:rPr>
          <w:sz w:val="32"/>
        </w:rPr>
        <w:t>6</w:t>
      </w:r>
      <w:r>
        <w:rPr>
          <w:spacing w:val="-28"/>
          <w:sz w:val="32"/>
        </w:rPr>
        <w:t> 項。</w:t>
      </w:r>
    </w:p>
    <w:p>
      <w:pPr>
        <w:spacing w:line="355" w:lineRule="auto" w:before="204"/>
        <w:ind w:left="112" w:right="429" w:firstLine="623"/>
        <w:jc w:val="left"/>
        <w:rPr>
          <w:sz w:val="32"/>
        </w:rPr>
      </w:pPr>
      <w:r>
        <w:rPr>
          <w:spacing w:val="-3"/>
          <w:sz w:val="32"/>
        </w:rPr>
        <w:t>本室對於花蓮縣各機關預算執行之審核、計畫實施之考核及重要審核</w:t>
      </w:r>
      <w:r>
        <w:rPr>
          <w:sz w:val="32"/>
        </w:rPr>
        <w:t>意見，已在本報告有關章節予以分析說明，以供參閱。</w:t>
      </w:r>
    </w:p>
    <w:p>
      <w:pPr>
        <w:spacing w:line="355" w:lineRule="auto" w:before="0"/>
        <w:ind w:left="113" w:right="425" w:firstLine="623"/>
        <w:jc w:val="left"/>
        <w:rPr>
          <w:sz w:val="32"/>
        </w:rPr>
      </w:pPr>
      <w:r>
        <w:rPr>
          <w:spacing w:val="-8"/>
          <w:sz w:val="32"/>
        </w:rPr>
        <w:t>茲當總決算審核完竣，謹編具中華民國 </w:t>
      </w:r>
      <w:r>
        <w:rPr>
          <w:sz w:val="32"/>
        </w:rPr>
        <w:t>109</w:t>
      </w:r>
      <w:r>
        <w:rPr>
          <w:spacing w:val="-10"/>
          <w:sz w:val="32"/>
        </w:rPr>
        <w:t> 年度花蓮縣總決算暨附屬單位決算及綜計表審核報告，敬請審議。</w:t>
      </w:r>
    </w:p>
    <w:p>
      <w:pPr>
        <w:spacing w:after="0" w:line="355" w:lineRule="auto"/>
        <w:jc w:val="left"/>
        <w:rPr>
          <w:sz w:val="32"/>
        </w:rPr>
        <w:sectPr>
          <w:pgSz w:w="11910" w:h="16840"/>
          <w:pgMar w:header="0" w:footer="734" w:top="1420" w:bottom="920" w:left="740" w:right="420"/>
        </w:sectPr>
      </w:pPr>
    </w:p>
    <w:p>
      <w:pPr>
        <w:spacing w:before="0"/>
        <w:ind w:left="1630" w:right="1683" w:firstLine="0"/>
        <w:jc w:val="center"/>
        <w:rPr>
          <w:b/>
          <w:sz w:val="36"/>
        </w:rPr>
      </w:pPr>
      <w:bookmarkStart w:name="109花蓮縣概況圖" w:id="4"/>
      <w:bookmarkEnd w:id="4"/>
      <w:r>
        <w:rPr/>
      </w:r>
      <w:bookmarkStart w:name="投影片編號 1" w:id="5"/>
      <w:bookmarkEnd w:id="5"/>
      <w:r>
        <w:rPr/>
      </w:r>
      <w:r>
        <w:rPr>
          <w:b/>
          <w:sz w:val="36"/>
        </w:rPr>
        <w:t>總決算審定後歲入來源與歲出用途概況</w:t>
      </w:r>
    </w:p>
    <w:p>
      <w:pPr>
        <w:pStyle w:val="BodyText"/>
        <w:spacing w:before="7"/>
        <w:rPr>
          <w:b/>
          <w:sz w:val="8"/>
        </w:rPr>
      </w:pPr>
    </w:p>
    <w:p>
      <w:pPr>
        <w:spacing w:before="48"/>
        <w:ind w:left="1021" w:right="1683" w:firstLine="0"/>
        <w:jc w:val="center"/>
        <w:rPr>
          <w:b/>
          <w:sz w:val="26"/>
        </w:rPr>
      </w:pPr>
      <w:r>
        <w:rPr>
          <w:b/>
          <w:sz w:val="26"/>
        </w:rPr>
        <w:t>中華民國 109 年度</w:t>
      </w:r>
    </w:p>
    <w:p>
      <w:pPr>
        <w:spacing w:before="120"/>
        <w:ind w:left="7548" w:right="90" w:firstLine="0"/>
        <w:jc w:val="center"/>
        <w:rPr>
          <w:b/>
          <w:sz w:val="24"/>
        </w:rPr>
      </w:pPr>
      <w:r>
        <w:rPr>
          <w:b/>
          <w:sz w:val="24"/>
        </w:rPr>
        <w:t>單位:新臺幣億元</w:t>
      </w:r>
    </w:p>
    <w:p>
      <w:pPr>
        <w:pStyle w:val="Heading4"/>
        <w:tabs>
          <w:tab w:pos="3408" w:val="left" w:leader="none"/>
          <w:tab w:pos="4248" w:val="left" w:leader="none"/>
          <w:tab w:pos="5369" w:val="left" w:leader="none"/>
          <w:tab w:pos="5930" w:val="left" w:leader="none"/>
        </w:tabs>
        <w:ind w:left="2287"/>
      </w:pPr>
      <w:r>
        <w:rPr/>
        <w:t>歲入</w:t>
        <w:tab/>
        <w:t>－</w:t>
        <w:tab/>
        <w:t>歲出</w:t>
        <w:tab/>
        <w:t>＝</w:t>
        <w:tab/>
      </w:r>
      <w:r>
        <w:rPr>
          <w:spacing w:val="-3"/>
        </w:rPr>
        <w:t>歲入</w:t>
      </w:r>
      <w:r>
        <w:rPr/>
        <w:t>歲出賸餘</w:t>
      </w:r>
    </w:p>
    <w:p>
      <w:pPr>
        <w:tabs>
          <w:tab w:pos="4129" w:val="left" w:leader="none"/>
          <w:tab w:pos="6370" w:val="left" w:leader="none"/>
        </w:tabs>
        <w:spacing w:line="364" w:lineRule="exact" w:before="0"/>
        <w:ind w:left="2170" w:right="0" w:firstLine="0"/>
        <w:jc w:val="left"/>
        <w:rPr>
          <w:b/>
          <w:sz w:val="28"/>
        </w:rPr>
      </w:pPr>
      <w:r>
        <w:rPr>
          <w:b/>
          <w:sz w:val="28"/>
        </w:rPr>
        <w:t>249.29</w:t>
        <w:tab/>
        <w:t>228.00</w:t>
        <w:tab/>
        <w:t>21.29</w:t>
      </w:r>
    </w:p>
    <w:p>
      <w:pPr>
        <w:pStyle w:val="BodyText"/>
        <w:spacing w:before="9"/>
        <w:rPr>
          <w:b/>
          <w:sz w:val="9"/>
        </w:rPr>
      </w:pPr>
    </w:p>
    <w:p>
      <w:pPr>
        <w:tabs>
          <w:tab w:pos="456" w:val="left" w:leader="none"/>
          <w:tab w:pos="914" w:val="left" w:leader="none"/>
          <w:tab w:pos="1370" w:val="left" w:leader="none"/>
        </w:tabs>
        <w:spacing w:before="60"/>
        <w:ind w:left="0" w:right="179" w:firstLine="0"/>
        <w:jc w:val="right"/>
        <w:rPr>
          <w:sz w:val="20"/>
        </w:rPr>
      </w:pPr>
      <w:r>
        <w:rPr/>
        <w:pict>
          <v:group style="position:absolute;margin-left:36.000099pt;margin-top:-5.206317pt;width:481pt;height:583.5pt;mso-position-horizontal-relative:page;mso-position-vertical-relative:paragraph;z-index:-252471296" coordorigin="720,-104" coordsize="9620,11670">
            <v:shape style="position:absolute;left:3396;top:1704;width:3760;height:5690" type="#_x0000_t75" stroked="false">
              <v:imagedata r:id="rId7" o:title=""/>
            </v:shape>
            <v:line style="position:absolute" from="7121,3925" to="7343,3925" stroked="true" strokeweight=".75pt" strokecolor="#000000">
              <v:stroke dashstyle="solid"/>
            </v:line>
            <v:shape style="position:absolute;left:7323;top:3884;width:80;height:80" coordorigin="7323,3885" coordsize="80,80" path="m7323,3885l7323,3965,7403,3925,7323,3885xe" filled="true" fillcolor="#000000" stroked="false">
              <v:path arrowok="t"/>
              <v:fill type="solid"/>
            </v:shape>
            <v:shape style="position:absolute;left:7122;top:6737;width:2684;height:425" type="#_x0000_t75" stroked="false">
              <v:imagedata r:id="rId8" o:title=""/>
            </v:shape>
            <v:line style="position:absolute" from="7115,4544" to="7338,4544" stroked="true" strokeweight=".75pt" strokecolor="#000000">
              <v:stroke dashstyle="solid"/>
            </v:line>
            <v:shape style="position:absolute;left:7317;top:4503;width:80;height:80" coordorigin="7318,4504" coordsize="80,80" path="m7318,4504l7318,4584,7398,4544,7318,4504xe" filled="true" fillcolor="#000000" stroked="false">
              <v:path arrowok="t"/>
              <v:fill type="solid"/>
            </v:shape>
            <v:line style="position:absolute" from="7115,5248" to="7338,5248" stroked="true" strokeweight=".75pt" strokecolor="#000000">
              <v:stroke dashstyle="solid"/>
            </v:line>
            <v:shape style="position:absolute;left:7317;top:5208;width:80;height:80" coordorigin="7318,5208" coordsize="80,80" path="m7318,5208l7318,5288,7398,5248,7318,5208xe" filled="true" fillcolor="#000000" stroked="false">
              <v:path arrowok="t"/>
              <v:fill type="solid"/>
            </v:shape>
            <v:line style="position:absolute" from="7115,6079" to="7338,6079" stroked="true" strokeweight=".75pt" strokecolor="#000000">
              <v:stroke dashstyle="solid"/>
            </v:line>
            <v:shape style="position:absolute;left:7317;top:6038;width:80;height:80" coordorigin="7318,6039" coordsize="80,80" path="m7318,6039l7318,6119,7398,6079,7318,6039xe" filled="true" fillcolor="#000000" stroked="false">
              <v:path arrowok="t"/>
              <v:fill type="solid"/>
            </v:shape>
            <v:shape style="position:absolute;left:7444;top:8586;width:1073;height:1839" type="#_x0000_t75" alt="?" stroked="false">
              <v:imagedata r:id="rId9" o:title=""/>
            </v:shape>
            <v:line style="position:absolute" from="8361,10374" to="8361,10767" stroked="true" strokeweight=".75pt" strokecolor="#000000">
              <v:stroke dashstyle="solid"/>
            </v:line>
            <v:shape style="position:absolute;left:8320;top:10747;width:80;height:80" coordorigin="8321,10747" coordsize="80,80" path="m8401,10747l8321,10747,8361,10827,8401,10747xe" filled="true" fillcolor="#000000" stroked="false">
              <v:path arrowok="t"/>
              <v:fill type="solid"/>
            </v:shape>
            <v:line style="position:absolute" from="6689,9799" to="7389,9799" stroked="true" strokeweight=".75pt" strokecolor="#000000">
              <v:stroke dashstyle="solid"/>
            </v:line>
            <v:shape style="position:absolute;left:7369;top:9759;width:80;height:80" coordorigin="7369,9759" coordsize="80,80" path="m7369,9759l7369,9839,7449,9799,7369,9759xe" filled="true" fillcolor="#000000" stroked="false">
              <v:path arrowok="t"/>
              <v:fill type="solid"/>
            </v:shape>
            <v:line style="position:absolute" from="8402,11073" to="8402,11528" stroked="true" strokeweight=".75pt" strokecolor="#000000">
              <v:stroke dashstyle="solid"/>
            </v:line>
            <v:shape style="position:absolute;left:7677;top:10825;width:1258;height:353" type="#_x0000_t75" alt="?" stroked="false">
              <v:imagedata r:id="rId10" o:title=""/>
            </v:shape>
            <v:shape style="position:absolute;left:4437;top:9279;width:1260;height:838" type="#_x0000_t75" alt="?" stroked="false">
              <v:imagedata r:id="rId11" o:title=""/>
            </v:shape>
            <v:shape style="position:absolute;left:5505;top:9279;width:1260;height:838" type="#_x0000_t75" alt="?" stroked="false">
              <v:imagedata r:id="rId12" o:title=""/>
            </v:shape>
            <v:shape style="position:absolute;left:4435;top:8780;width:2333;height:692" type="#_x0000_t75" alt="?" stroked="false">
              <v:imagedata r:id="rId13" o:title=""/>
            </v:shape>
            <v:line style="position:absolute" from="728,11518" to="735,2397" stroked="true" strokeweight=".75pt" strokecolor="#000000">
              <v:stroke dashstyle="solid"/>
            </v:line>
            <v:line style="position:absolute" from="8389,11518" to="795,11526" stroked="true" strokeweight=".75pt" strokecolor="#000000">
              <v:stroke dashstyle="solid"/>
            </v:line>
            <v:shape style="position:absolute;left:734;top:4724;width:2693;height:6841" coordorigin="735,4725" coordsize="2693,6841" path="m815,11566l815,11486,735,11526,815,11566m3427,4765l3347,4725,3347,4805,3427,4765e" filled="true" fillcolor="#000000" stroked="false">
              <v:path arrowok="t"/>
              <v:fill type="solid"/>
            </v:shape>
            <v:line style="position:absolute" from="2966,2066" to="3360,2066" stroked="true" strokeweight=".75pt" strokecolor="#000000">
              <v:stroke dashstyle="solid"/>
            </v:line>
            <v:shape style="position:absolute;left:3339;top:2026;width:80;height:80" coordorigin="3340,2026" coordsize="80,80" path="m3340,2026l3340,2106,3420,2066,3340,2026xe" filled="true" fillcolor="#000000" stroked="false">
              <v:path arrowok="t"/>
              <v:fill type="solid"/>
            </v:shape>
            <v:line style="position:absolute" from="732,2398" to="955,2398" stroked="true" strokeweight=".75pt" strokecolor="#000000">
              <v:stroke dashstyle="solid"/>
            </v:line>
            <v:shape style="position:absolute;left:934;top:2358;width:80;height:80" coordorigin="935,2358" coordsize="80,80" path="m935,2358l935,2438,1015,2398,935,2358xe" filled="true" fillcolor="#000000" stroked="false">
              <v:path arrowok="t"/>
              <v:fill type="solid"/>
            </v:shape>
            <v:shape style="position:absolute;left:7448;top:3007;width:1382;height:362" type="#_x0000_t75" stroked="false">
              <v:imagedata r:id="rId14" o:title=""/>
            </v:shape>
            <v:shape style="position:absolute;left:9040;top:3206;width:61;height:183" coordorigin="9041,3206" coordsize="61,183" path="m9100,3206l9050,3253,9041,3309,9042,3320,9078,3377,9098,3389,9099,3387,9090,3380,9083,3372,9076,3366,9071,3359,9064,3349,9052,3288,9054,3277,9084,3223,9102,3209,9100,3206xe" filled="true" fillcolor="#000000" stroked="false">
              <v:path arrowok="t"/>
              <v:fill type="solid"/>
            </v:shape>
            <v:shape style="position:absolute;left:9155;top:3208;width:684;height:183" type="#_x0000_t75" stroked="false">
              <v:imagedata r:id="rId15" o:title=""/>
            </v:shape>
            <v:shape style="position:absolute;left:1552;top:8586;width:1032;height:1784" type="#_x0000_t75" alt="?" stroked="false">
              <v:imagedata r:id="rId16" o:title=""/>
            </v:shape>
            <v:shape style="position:absolute;left:7446;top:5166;width:1375;height:403" type="#_x0000_t75" stroked="false">
              <v:imagedata r:id="rId17" o:title=""/>
            </v:shape>
            <v:shape style="position:absolute;left:8933;top:5405;width:573;height:183" coordorigin="8934,5405" coordsize="573,183" path="m8995,5408l8993,5405,8983,5411,8974,5418,8965,5425,8957,5433,8949,5442,8943,5452,8939,5464,8936,5474,8934,5486,8934,5508,8935,5519,8938,5530,8943,5541,8949,5552,8957,5562,8964,5569,8972,5577,8981,5583,8991,5588,8993,5586,8984,5579,8976,5572,8970,5565,8964,5558,8957,5548,8952,5539,8950,5529,8947,5518,8946,5508,8946,5487,8947,5476,8953,5455,8958,5445,8971,5429,8977,5422,8985,5415,8995,5408m9106,5559l9091,5559,9091,5559,9089,5556,9089,5428,9089,5417,9083,5417,9080,5421,9076,5424,9073,5425,9069,5427,9062,5428,9062,5428,9054,5428,9054,5434,9072,5434,9073,5436,9073,5556,9071,5559,9056,5559,9056,5565,9106,5565,9106,5559m9222,5505l9220,5497,9217,5492,9214,5486,9211,5482,9210,5481,9206,5479,9206,5479,9206,5502,9206,5538,9202,5550,9192,5558,9188,5559,9180,5559,9176,5557,9169,5548,9167,5541,9164,5524,9163,5511,9163,5494,9171,5486,9171,5486,9179,5481,9186,5481,9190,5481,9193,5482,9202,5490,9206,5502,9206,5479,9202,5475,9197,5474,9184,5474,9177,5476,9172,5480,9169,5482,9166,5484,9163,5486,9163,5472,9164,5459,9166,5446,9169,5432,9175,5425,9187,5425,9190,5425,9193,5425,9197,5426,9201,5428,9203,5430,9203,5434,9202,5436,9201,5439,9199,5442,9197,5445,9197,5453,9200,5456,9209,5456,9211,5455,9213,5452,9215,5449,9215,5447,9215,5436,9212,5430,9207,5425,9206,5424,9200,5419,9193,5417,9177,5417,9170,5419,9159,5428,9155,5436,9152,5447,9150,5456,9149,5467,9148,5479,9148,5506,9148,5518,9149,5528,9151,5535,9156,5549,9163,5559,9173,5565,9186,5567,9200,5567,9210,5560,9210,5559,9220,5537,9221,5528,9222,5505m9273,5562l9273,5554,9272,5552,9267,5547,9264,5546,9257,5546,9254,5547,9249,5551,9248,5554,9248,5562,9249,5564,9252,5567,9254,5569,9257,5571,9264,5571,9267,5569,9269,5567,9272,5564,9273,5562m9421,5447l9419,5440,9409,5425,9408,5423,9397,5418,9377,5418,9371,5419,9364,5422,9358,5425,9353,5429,9350,5435,9347,5441,9345,5447,9345,5459,9346,5463,9348,5467,9351,5470,9354,5472,9361,5472,9363,5471,9366,5469,9367,5467,9368,5466,9368,5459,9365,5456,9359,5454,9356,5452,9355,5450,9355,5440,9358,5435,9369,5427,9375,5425,9389,5425,9395,5428,9403,5438,9405,5444,9405,5457,9404,5462,9401,5469,9398,5477,9394,5483,9390,5489,9380,5501,9372,5511,9365,5520,9360,5528,9355,5537,9351,5546,9348,5556,9345,5566,9417,5566,9418,5552,9421,5530,9415,5530,9414,5539,9412,5545,9410,5548,9409,5551,9406,5552,9403,5552,9357,5552,9362,5541,9369,5529,9377,5518,9387,5508,9398,5497,9405,5489,9409,5484,9417,5473,9421,5464,9421,5447m9506,5560l9492,5560,9492,5560,9489,5557,9490,5430,9490,5418,9484,5418,9480,5422,9477,5425,9474,5427,9469,5429,9463,5430,9463,5430,9455,5430,9455,5436,9473,5436,9474,5437,9474,5557,9471,5560,9457,5560,9457,5566,9506,5567,9506,5560e" filled="true" fillcolor="#000000" stroked="false">
              <v:path arrowok="t"/>
              <v:fill type="solid"/>
            </v:shape>
            <v:shape style="position:absolute;left:9545;top:5407;width:287;height:183" type="#_x0000_t75" stroked="false">
              <v:imagedata r:id="rId18" o:title=""/>
            </v:shape>
            <v:shape style="position:absolute;left:7441;top:3424;width:2392;height:381" type="#_x0000_t75" stroked="false">
              <v:imagedata r:id="rId19" o:title=""/>
            </v:shape>
            <v:shape style="position:absolute;left:8453;top:2773;width:375;height:154" type="#_x0000_t75" stroked="false">
              <v:imagedata r:id="rId20" o:title=""/>
            </v:shape>
            <v:shape style="position:absolute;left:7447;top:2763;width:752;height:179" type="#_x0000_t75" stroked="false">
              <v:imagedata r:id="rId21" o:title=""/>
            </v:shape>
            <v:shape style="position:absolute;left:9039;top:2764;width:61;height:183" coordorigin="9040,2765" coordsize="61,183" path="m9099,2765l9049,2811,9040,2867,9041,2878,9077,2936,9097,2947,9098,2945,9089,2938,9082,2931,9075,2924,9070,2917,9063,2907,9051,2846,9053,2835,9083,2781,9101,2767,9099,2765xe" filled="true" fillcolor="#000000" stroked="false">
              <v:path arrowok="t"/>
              <v:fill type="solid"/>
            </v:shape>
            <v:shape style="position:absolute;left:9154;top:2766;width:684;height:183" type="#_x0000_t75" stroked="false">
              <v:imagedata r:id="rId22" o:title=""/>
            </v:shape>
            <v:line style="position:absolute" from="3112,3693" to="3112,2786" stroked="true" strokeweight=".75pt" strokecolor="#000000">
              <v:stroke dashstyle="solid"/>
            </v:line>
            <v:line style="position:absolute" from="2964,3693" to="3107,3693" stroked="true" strokeweight=".75pt" strokecolor="#000000">
              <v:stroke dashstyle="solid"/>
            </v:line>
            <v:shape style="position:absolute;left:7438;top:4443;width:1366;height:401" type="#_x0000_t75" stroked="false">
              <v:imagedata r:id="rId23" o:title=""/>
            </v:shape>
            <v:shape style="position:absolute;left:8931;top:4681;width:898;height:186" type="#_x0000_t75" stroked="false">
              <v:imagedata r:id="rId24" o:title=""/>
            </v:shape>
            <v:shape style="position:absolute;left:7460;top:5986;width:1352;height:398" type="#_x0000_t75" stroked="false">
              <v:imagedata r:id="rId25" o:title=""/>
            </v:shape>
            <v:shape style="position:absolute;left:8940;top:6221;width:898;height:186" type="#_x0000_t75" stroked="false">
              <v:imagedata r:id="rId26" o:title=""/>
            </v:shape>
            <v:shape style="position:absolute;left:7437;top:3845;width:1371;height:398" type="#_x0000_t75" stroked="false">
              <v:imagedata r:id="rId27" o:title=""/>
            </v:shape>
            <v:shape style="position:absolute;left:9019;top:4080;width:800;height:186" type="#_x0000_t75" stroked="false">
              <v:imagedata r:id="rId28" o:title=""/>
            </v:shape>
            <v:shape style="position:absolute;left:868;top:1232;width:2014;height:466" type="#_x0000_t75" stroked="false">
              <v:imagedata r:id="rId29" o:title=""/>
            </v:shape>
            <v:shape style="position:absolute;left:859;top:2631;width:2014;height:468" type="#_x0000_t75" stroked="false">
              <v:imagedata r:id="rId30" o:title=""/>
            </v:shape>
            <v:shape style="position:absolute;left:3341;top:2362;width:80;height:80" coordorigin="3341,2362" coordsize="80,80" path="m3341,2362l3341,2442,3421,2402,3341,2362xe" filled="true" fillcolor="#000000" stroked="false">
              <v:path arrowok="t"/>
              <v:fill type="solid"/>
            </v:shape>
            <v:line style="position:absolute" from="3115,2796" to="3350,2796" stroked="true" strokeweight=".75pt" strokecolor="#000000">
              <v:stroke dashstyle="solid"/>
            </v:line>
            <v:shape style="position:absolute;left:3329;top:2756;width:80;height:80" coordorigin="3330,2756" coordsize="80,80" path="m3330,2756l3330,2836,3410,2796,3330,2756xe" filled="true" fillcolor="#000000" stroked="false">
              <v:path arrowok="t"/>
              <v:fill type="solid"/>
            </v:shape>
            <v:shape style="position:absolute;left:8312;top:10065;width:1113;height:375" type="#_x0000_t75" alt="?" stroked="false">
              <v:imagedata r:id="rId31" o:title=""/>
            </v:shape>
            <v:shape style="position:absolute;left:8340;top:8581;width:1071;height:1680" type="#_x0000_t75" alt="?" stroked="false">
              <v:imagedata r:id="rId32" o:title=""/>
            </v:shape>
            <v:line style="position:absolute" from="6978,3370" to="6978,2918" stroked="true" strokeweight=".76pt" strokecolor="#000000">
              <v:stroke dashstyle="solid"/>
            </v:line>
            <v:line style="position:absolute" from="6973,2918" to="7283,2918" stroked="true" strokeweight=".75pt" strokecolor="#000000">
              <v:stroke dashstyle="solid"/>
            </v:line>
            <v:shape style="position:absolute;left:7262;top:2877;width:80;height:80" coordorigin="7263,2878" coordsize="80,80" path="m7263,2878l7263,2958,7343,2918,7263,2878xe" filled="true" fillcolor="#000000" stroked="false">
              <v:path arrowok="t"/>
              <v:fill type="solid"/>
            </v:shape>
            <v:line style="position:absolute" from="7113,3523" to="7308,3523" stroked="true" strokeweight=".75pt" strokecolor="#000000">
              <v:stroke dashstyle="solid"/>
            </v:line>
            <v:shape style="position:absolute;left:7287;top:3482;width:80;height:80" coordorigin="7288,3483" coordsize="80,80" path="m7288,3483l7288,3563,7368,3523,7288,3483xe" filled="true" fillcolor="#000000" stroked="false">
              <v:path arrowok="t"/>
              <v:fill type="solid"/>
            </v:shape>
            <v:shape style="position:absolute;left:7107;top:3065;width:253;height:330" type="#_x0000_t75" stroked="false">
              <v:imagedata r:id="rId33" o:title=""/>
            </v:shape>
            <v:shape style="position:absolute;left:8373;top:699;width:1066;height:812" type="#_x0000_t75" alt="?" stroked="false">
              <v:imagedata r:id="rId34" o:title=""/>
            </v:shape>
            <v:shape style="position:absolute;left:9271;top:894;width:1066;height:617" type="#_x0000_t75" alt="?" stroked="false">
              <v:imagedata r:id="rId35" o:title=""/>
            </v:shape>
            <v:shape style="position:absolute;left:8373;top:239;width:1083;height:562" type="#_x0000_t75" alt="?" stroked="false">
              <v:imagedata r:id="rId36" o:title=""/>
            </v:shape>
            <v:shape style="position:absolute;left:9273;top:234;width:1066;height:843" type="#_x0000_t75" alt="?" stroked="false">
              <v:imagedata r:id="rId37" o:title=""/>
            </v:shape>
            <v:shape style="position:absolute;left:8368;top:-105;width:1971;height:502" type="#_x0000_t75" alt="?" stroked="false">
              <v:imagedata r:id="rId38" o:title=""/>
            </v:shape>
            <v:shape style="position:absolute;left:8192;top:617;width:201;height:245" type="#_x0000_t75" stroked="false">
              <v:imagedata r:id="rId39" o:title=""/>
            </v:shape>
            <v:shape style="position:absolute;left:4170;top:620;width:4325;height:5878" type="#_x0000_t75" stroked="false">
              <v:imagedata r:id="rId40" o:title=""/>
            </v:shape>
            <v:shape style="position:absolute;left:2380;top:10022;width:1105;height:373" type="#_x0000_t75" alt="?" stroked="false">
              <v:imagedata r:id="rId31" o:title=""/>
            </v:shape>
            <v:shape style="position:absolute;left:3477;top:9779;width:80;height:80" coordorigin="3477,9779" coordsize="80,80" path="m3557,9779l3477,9819,3557,9859,3557,9779xe" filled="true" fillcolor="#000000" stroked="false">
              <v:path arrowok="t"/>
              <v:fill type="solid"/>
            </v:shape>
            <v:shape style="position:absolute;left:2397;top:8588;width:1071;height:1680" type="#_x0000_t75" alt="?" stroked="false">
              <v:imagedata r:id="rId32" o:title=""/>
            </v:shape>
            <v:shape style="position:absolute;left:1737;top:10815;width:1258;height:353" type="#_x0000_t75" alt="?" stroked="false">
              <v:imagedata r:id="rId41" o:title=""/>
            </v:shape>
            <v:line style="position:absolute" from="2418,10363" to="2418,10755" stroked="true" strokeweight=".75pt" strokecolor="#000000">
              <v:stroke dashstyle="solid"/>
            </v:line>
            <v:shape style="position:absolute;left:2377;top:10735;width:80;height:80" coordorigin="2377,10735" coordsize="80,80" path="m2457,10735l2377,10735,2417,10815,2457,10735xe" filled="true" fillcolor="#000000" stroked="false">
              <v:path arrowok="t"/>
              <v:fill type="solid"/>
            </v:shape>
            <v:line style="position:absolute" from="1737,11065" to="795,11065" stroked="true" strokeweight=".75pt" strokecolor="#000000">
              <v:stroke dashstyle="solid"/>
            </v:line>
            <v:shape style="position:absolute;left:735;top:11025;width:80;height:80" coordorigin="735,11025" coordsize="80,80" path="m815,11025l735,11065,815,11105,815,11025xe" filled="true" fillcolor="#000000" stroked="false">
              <v:path arrowok="t"/>
              <v:fill type="solid"/>
            </v:shape>
            <w10:wrap type="none"/>
          </v:group>
        </w:pict>
      </w:r>
      <w:r>
        <w:rPr>
          <w:sz w:val="20"/>
        </w:rPr>
        <w:t>融</w:t>
        <w:tab/>
        <w:t>資</w:t>
        <w:tab/>
        <w:t>調</w:t>
        <w:tab/>
      </w:r>
      <w:r>
        <w:rPr>
          <w:w w:val="95"/>
          <w:sz w:val="20"/>
        </w:rPr>
        <w:t>度</w:t>
      </w:r>
    </w:p>
    <w:p>
      <w:pPr>
        <w:spacing w:before="25"/>
        <w:ind w:left="0" w:right="1020" w:firstLine="0"/>
        <w:jc w:val="right"/>
        <w:rPr>
          <w:sz w:val="16"/>
        </w:rPr>
      </w:pPr>
      <w:r>
        <w:rPr>
          <w:sz w:val="16"/>
        </w:rPr>
        <w:t>歲入歲出賸餘</w:t>
      </w:r>
    </w:p>
    <w:p>
      <w:pPr>
        <w:spacing w:after="0"/>
        <w:jc w:val="right"/>
        <w:rPr>
          <w:sz w:val="16"/>
        </w:rPr>
        <w:sectPr>
          <w:footerReference w:type="default" r:id="rId6"/>
          <w:pgSz w:w="10800" w:h="14810"/>
          <w:pgMar w:footer="0" w:header="0" w:top="240" w:bottom="280" w:left="820" w:right="500"/>
        </w:sect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spacing w:before="4"/>
        <w:rPr>
          <w:sz w:val="21"/>
        </w:rPr>
      </w:pPr>
    </w:p>
    <w:p>
      <w:pPr>
        <w:spacing w:before="0"/>
        <w:ind w:left="161" w:right="0" w:firstLine="0"/>
        <w:jc w:val="left"/>
        <w:rPr>
          <w:sz w:val="18"/>
        </w:rPr>
      </w:pPr>
      <w:r>
        <w:rPr>
          <w:sz w:val="18"/>
        </w:rPr>
        <w:t>自籌財源（19.82％）</w:t>
      </w:r>
    </w:p>
    <w:p>
      <w:pPr>
        <w:spacing w:line="249" w:lineRule="exact" w:before="55"/>
        <w:ind w:left="271" w:right="0" w:firstLine="0"/>
        <w:jc w:val="left"/>
        <w:rPr>
          <w:sz w:val="20"/>
        </w:rPr>
      </w:pPr>
      <w:r>
        <w:rPr>
          <w:sz w:val="20"/>
        </w:rPr>
        <w:t>自有稅課收入</w:t>
      </w:r>
    </w:p>
    <w:p>
      <w:pPr>
        <w:spacing w:line="233" w:lineRule="exact" w:before="0"/>
        <w:ind w:left="271" w:right="0" w:firstLine="0"/>
        <w:jc w:val="left"/>
        <w:rPr>
          <w:sz w:val="20"/>
        </w:rPr>
      </w:pPr>
      <w:r>
        <w:rPr>
          <w:sz w:val="20"/>
        </w:rPr>
        <w:t>37.89（15.20％）</w:t>
      </w:r>
    </w:p>
    <w:p>
      <w:pPr>
        <w:tabs>
          <w:tab w:pos="2147" w:val="left" w:leader="none"/>
          <w:tab w:pos="2541" w:val="left" w:leader="none"/>
        </w:tabs>
        <w:spacing w:line="225" w:lineRule="exact" w:before="0"/>
        <w:ind w:left="256" w:right="0" w:firstLine="0"/>
        <w:jc w:val="left"/>
        <w:rPr>
          <w:rFonts w:ascii="Times New Roman" w:eastAsia="Times New Roman"/>
          <w:sz w:val="20"/>
        </w:rPr>
      </w:pPr>
      <w:r>
        <w:rPr>
          <w:w w:val="95"/>
          <w:sz w:val="20"/>
        </w:rPr>
        <w:t>其他各項收入</w:t>
      </w:r>
      <w:r>
        <w:rPr>
          <w:sz w:val="20"/>
        </w:rPr>
        <w:tab/>
      </w:r>
      <w:r>
        <w:rPr>
          <w:rFonts w:ascii="Times New Roman" w:eastAsia="Times New Roman"/>
          <w:w w:val="99"/>
          <w:sz w:val="20"/>
          <w:u w:val="single"/>
        </w:rPr>
        <w:t> </w:t>
      </w:r>
      <w:r>
        <w:rPr>
          <w:rFonts w:ascii="Times New Roman" w:eastAsia="Times New Roman"/>
          <w:sz w:val="20"/>
          <w:u w:val="single"/>
        </w:rPr>
        <w:tab/>
      </w:r>
    </w:p>
    <w:p>
      <w:pPr>
        <w:spacing w:line="241" w:lineRule="exact" w:before="0"/>
        <w:ind w:left="256" w:right="0" w:firstLine="0"/>
        <w:jc w:val="left"/>
        <w:rPr>
          <w:sz w:val="20"/>
        </w:rPr>
      </w:pPr>
      <w:r>
        <w:rPr>
          <w:sz w:val="20"/>
        </w:rPr>
        <w:t>11.51（4.62</w:t>
      </w:r>
      <w:r>
        <w:rPr>
          <w:sz w:val="18"/>
        </w:rPr>
        <w:t>％</w:t>
      </w:r>
      <w:r>
        <w:rPr>
          <w:sz w:val="20"/>
        </w:rPr>
        <w:t>）</w:t>
      </w:r>
    </w:p>
    <w:p>
      <w:pPr>
        <w:spacing w:line="199" w:lineRule="exact" w:before="0"/>
        <w:ind w:left="213" w:right="0" w:firstLine="0"/>
        <w:jc w:val="center"/>
        <w:rPr>
          <w:sz w:val="16"/>
        </w:rPr>
      </w:pPr>
      <w:r>
        <w:rPr/>
        <w:br w:type="column"/>
      </w:r>
      <w:r>
        <w:rPr>
          <w:sz w:val="16"/>
        </w:rPr>
        <w:t>21.29</w:t>
      </w:r>
    </w:p>
    <w:p>
      <w:pPr>
        <w:spacing w:line="208" w:lineRule="exact" w:before="141"/>
        <w:ind w:left="161" w:right="0" w:firstLine="0"/>
        <w:jc w:val="center"/>
        <w:rPr>
          <w:sz w:val="16"/>
        </w:rPr>
      </w:pPr>
      <w:r>
        <w:rPr>
          <w:sz w:val="16"/>
        </w:rPr>
        <w:t>債務之舉借</w:t>
      </w:r>
    </w:p>
    <w:p>
      <w:pPr>
        <w:spacing w:line="208" w:lineRule="exact" w:before="0"/>
        <w:ind w:left="160" w:right="0" w:firstLine="0"/>
        <w:jc w:val="center"/>
        <w:rPr>
          <w:sz w:val="16"/>
        </w:rPr>
      </w:pPr>
      <w:r>
        <w:rPr>
          <w:sz w:val="16"/>
        </w:rPr>
        <w:t>59.23</w:t>
      </w:r>
    </w:p>
    <w:p>
      <w:pPr>
        <w:spacing w:line="182" w:lineRule="exact" w:before="0"/>
        <w:ind w:left="50" w:right="96" w:firstLine="0"/>
        <w:jc w:val="center"/>
        <w:rPr>
          <w:sz w:val="16"/>
        </w:rPr>
      </w:pPr>
      <w:r>
        <w:rPr/>
        <w:br w:type="column"/>
      </w:r>
      <w:r>
        <w:rPr>
          <w:sz w:val="16"/>
        </w:rPr>
        <w:t>債務之償還</w:t>
      </w:r>
    </w:p>
    <w:p>
      <w:pPr>
        <w:spacing w:line="213" w:lineRule="exact" w:before="0"/>
        <w:ind w:left="49" w:right="96" w:firstLine="0"/>
        <w:jc w:val="center"/>
        <w:rPr>
          <w:sz w:val="16"/>
        </w:rPr>
      </w:pPr>
      <w:r>
        <w:rPr>
          <w:sz w:val="16"/>
        </w:rPr>
        <w:t>53.50</w:t>
      </w:r>
    </w:p>
    <w:p>
      <w:pPr>
        <w:spacing w:line="211" w:lineRule="exact" w:before="100"/>
        <w:ind w:left="50" w:right="147" w:firstLine="0"/>
        <w:jc w:val="center"/>
        <w:rPr>
          <w:sz w:val="16"/>
        </w:rPr>
      </w:pPr>
      <w:r>
        <w:rPr>
          <w:sz w:val="16"/>
        </w:rPr>
        <w:t>收支賸餘</w:t>
      </w:r>
    </w:p>
    <w:p>
      <w:pPr>
        <w:spacing w:line="211" w:lineRule="exact" w:before="0"/>
        <w:ind w:left="50" w:right="148" w:firstLine="0"/>
        <w:jc w:val="center"/>
        <w:rPr>
          <w:sz w:val="16"/>
        </w:rPr>
      </w:pPr>
      <w:r>
        <w:rPr>
          <w:sz w:val="16"/>
        </w:rPr>
        <w:t>27.03</w:t>
      </w:r>
    </w:p>
    <w:p>
      <w:pPr>
        <w:spacing w:after="0" w:line="211" w:lineRule="exact"/>
        <w:jc w:val="center"/>
        <w:rPr>
          <w:sz w:val="16"/>
        </w:rPr>
        <w:sectPr>
          <w:type w:val="continuous"/>
          <w:pgSz w:w="10800" w:h="14810"/>
          <w:pgMar w:top="1580" w:bottom="280" w:left="820" w:right="500"/>
          <w:cols w:num="3" w:equalWidth="0">
            <w:col w:w="2582" w:space="4908"/>
            <w:col w:w="964" w:space="40"/>
            <w:col w:w="986"/>
          </w:cols>
        </w:sectPr>
      </w:pPr>
    </w:p>
    <w:p>
      <w:pPr>
        <w:spacing w:before="147"/>
        <w:ind w:left="105" w:right="0" w:firstLine="0"/>
        <w:jc w:val="left"/>
        <w:rPr>
          <w:sz w:val="18"/>
        </w:rPr>
      </w:pPr>
      <w:r>
        <w:rPr>
          <w:sz w:val="18"/>
        </w:rPr>
        <w:t>非自籌財源（80.18％）</w:t>
      </w:r>
    </w:p>
    <w:p>
      <w:pPr>
        <w:pStyle w:val="BodyText"/>
        <w:spacing w:before="1"/>
        <w:rPr>
          <w:sz w:val="27"/>
        </w:rPr>
      </w:pPr>
    </w:p>
    <w:p>
      <w:pPr>
        <w:spacing w:line="260" w:lineRule="exact" w:before="60"/>
        <w:ind w:left="207" w:right="0" w:firstLine="0"/>
        <w:jc w:val="left"/>
        <w:rPr>
          <w:sz w:val="20"/>
        </w:rPr>
      </w:pPr>
      <w:r>
        <w:rPr>
          <w:sz w:val="20"/>
        </w:rPr>
        <w:t>統籌分配稅收入</w:t>
      </w:r>
    </w:p>
    <w:p>
      <w:pPr>
        <w:spacing w:line="182" w:lineRule="exact" w:before="0"/>
        <w:ind w:left="207" w:right="0" w:firstLine="0"/>
        <w:jc w:val="left"/>
        <w:rPr>
          <w:sz w:val="20"/>
        </w:rPr>
      </w:pPr>
      <w:r>
        <w:rPr>
          <w:sz w:val="20"/>
        </w:rPr>
        <w:t>48.69（19.53％）</w:t>
      </w:r>
    </w:p>
    <w:p>
      <w:pPr>
        <w:spacing w:line="257" w:lineRule="exact" w:before="0"/>
        <w:ind w:left="1630" w:right="4065" w:firstLine="0"/>
        <w:jc w:val="center"/>
        <w:rPr>
          <w:b/>
          <w:sz w:val="24"/>
        </w:rPr>
      </w:pPr>
      <w:r>
        <w:rPr>
          <w:b/>
          <w:sz w:val="24"/>
        </w:rPr>
        <w:t>歲 入</w:t>
      </w:r>
    </w:p>
    <w:p>
      <w:pPr>
        <w:pStyle w:val="BodyText"/>
        <w:spacing w:before="6"/>
        <w:rPr>
          <w:b/>
          <w:sz w:val="19"/>
        </w:rPr>
      </w:pPr>
    </w:p>
    <w:p>
      <w:pPr>
        <w:tabs>
          <w:tab w:pos="2153" w:val="left" w:leader="none"/>
          <w:tab w:pos="2547" w:val="left" w:leader="none"/>
        </w:tabs>
        <w:spacing w:line="261" w:lineRule="exact" w:before="77"/>
        <w:ind w:left="196" w:right="0" w:firstLine="0"/>
        <w:jc w:val="left"/>
        <w:rPr>
          <w:rFonts w:ascii="Times New Roman" w:eastAsia="Times New Roman"/>
          <w:sz w:val="20"/>
        </w:rPr>
      </w:pPr>
      <w:r>
        <w:rPr>
          <w:w w:val="95"/>
          <w:sz w:val="20"/>
        </w:rPr>
        <w:t>補助及協助收入</w:t>
      </w:r>
      <w:r>
        <w:rPr>
          <w:sz w:val="20"/>
        </w:rPr>
        <w:tab/>
      </w:r>
      <w:r>
        <w:rPr>
          <w:rFonts w:ascii="Times New Roman" w:eastAsia="Times New Roman"/>
          <w:w w:val="99"/>
          <w:sz w:val="20"/>
          <w:u w:val="single"/>
        </w:rPr>
        <w:t> </w:t>
      </w:r>
      <w:r>
        <w:rPr>
          <w:rFonts w:ascii="Times New Roman" w:eastAsia="Times New Roman"/>
          <w:sz w:val="20"/>
          <w:u w:val="single"/>
        </w:rPr>
        <w:tab/>
      </w:r>
    </w:p>
    <w:p>
      <w:pPr>
        <w:spacing w:line="261" w:lineRule="exact" w:before="0"/>
        <w:ind w:left="196" w:right="0" w:firstLine="0"/>
        <w:jc w:val="left"/>
        <w:rPr>
          <w:sz w:val="20"/>
        </w:rPr>
      </w:pPr>
      <w:r>
        <w:rPr>
          <w:sz w:val="20"/>
        </w:rPr>
        <w:t>151.18（60.64％）</w:t>
      </w:r>
    </w:p>
    <w:p>
      <w:pPr>
        <w:spacing w:before="107"/>
        <w:ind w:left="1630" w:right="1036" w:firstLine="0"/>
        <w:jc w:val="center"/>
        <w:rPr>
          <w:b/>
          <w:sz w:val="24"/>
        </w:rPr>
      </w:pPr>
      <w:r>
        <w:rPr>
          <w:b/>
          <w:sz w:val="24"/>
        </w:rPr>
        <w:t>歲 出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spacing w:after="0"/>
        <w:rPr>
          <w:sz w:val="20"/>
        </w:rPr>
        <w:sectPr>
          <w:type w:val="continuous"/>
          <w:pgSz w:w="10800" w:h="14810"/>
          <w:pgMar w:top="1580" w:bottom="280" w:left="820" w:right="500"/>
        </w:sectPr>
      </w:pPr>
    </w:p>
    <w:p>
      <w:pPr>
        <w:pStyle w:val="BodyText"/>
        <w:rPr>
          <w:b/>
          <w:sz w:val="20"/>
        </w:rPr>
      </w:pPr>
    </w:p>
    <w:p>
      <w:pPr>
        <w:spacing w:line="260" w:lineRule="exact" w:before="174"/>
        <w:ind w:left="856" w:right="0" w:firstLine="0"/>
        <w:jc w:val="left"/>
        <w:rPr>
          <w:sz w:val="20"/>
        </w:rPr>
      </w:pPr>
      <w:r>
        <w:rPr>
          <w:spacing w:val="-7"/>
          <w:sz w:val="20"/>
        </w:rPr>
        <w:t>總收入</w:t>
      </w:r>
    </w:p>
    <w:p>
      <w:pPr>
        <w:spacing w:line="260" w:lineRule="exact" w:before="0"/>
        <w:ind w:left="954" w:right="0" w:firstLine="0"/>
        <w:jc w:val="left"/>
        <w:rPr>
          <w:sz w:val="20"/>
        </w:rPr>
      </w:pPr>
      <w:r>
        <w:rPr>
          <w:sz w:val="20"/>
        </w:rPr>
        <w:t>0.43</w:t>
      </w:r>
    </w:p>
    <w:p>
      <w:pPr>
        <w:pStyle w:val="BodyText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spacing w:line="260" w:lineRule="exact" w:before="169"/>
        <w:ind w:left="267" w:right="0" w:firstLine="0"/>
        <w:jc w:val="left"/>
        <w:rPr>
          <w:b/>
          <w:sz w:val="20"/>
        </w:rPr>
      </w:pPr>
      <w:r>
        <w:rPr>
          <w:b/>
          <w:sz w:val="20"/>
        </w:rPr>
        <w:t>總支出</w:t>
      </w:r>
    </w:p>
    <w:p>
      <w:pPr>
        <w:tabs>
          <w:tab w:pos="1220" w:val="left" w:leader="none"/>
          <w:tab w:pos="2133" w:val="left" w:leader="none"/>
        </w:tabs>
        <w:spacing w:line="260" w:lineRule="exact" w:before="0"/>
        <w:ind w:left="368" w:right="0" w:firstLine="0"/>
        <w:jc w:val="left"/>
        <w:rPr>
          <w:b/>
          <w:sz w:val="20"/>
        </w:rPr>
      </w:pPr>
      <w:r>
        <w:rPr>
          <w:b/>
          <w:sz w:val="20"/>
        </w:rPr>
        <w:t>0.43</w:t>
        <w:tab/>
      </w:r>
      <w:r>
        <w:rPr>
          <w:b/>
          <w:w w:val="99"/>
          <w:sz w:val="20"/>
          <w:u w:val="single"/>
        </w:rPr>
        <w:t> </w:t>
      </w:r>
      <w:r>
        <w:rPr>
          <w:b/>
          <w:sz w:val="20"/>
          <w:u w:val="single"/>
        </w:rPr>
        <w:tab/>
      </w:r>
    </w:p>
    <w:p>
      <w:pPr>
        <w:pStyle w:val="BodyText"/>
        <w:spacing w:before="5"/>
        <w:rPr>
          <w:b/>
          <w:sz w:val="15"/>
        </w:rPr>
      </w:pPr>
      <w:r>
        <w:rPr/>
        <w:br w:type="column"/>
      </w:r>
      <w:r>
        <w:rPr>
          <w:b/>
          <w:sz w:val="15"/>
        </w:rPr>
      </w:r>
    </w:p>
    <w:p>
      <w:pPr>
        <w:spacing w:before="0"/>
        <w:ind w:left="418" w:right="0" w:firstLine="0"/>
        <w:jc w:val="left"/>
        <w:rPr>
          <w:sz w:val="20"/>
        </w:rPr>
      </w:pPr>
      <w:r>
        <w:rPr>
          <w:sz w:val="20"/>
        </w:rPr>
        <w:t>附屬單位決算</w:t>
      </w:r>
    </w:p>
    <w:p>
      <w:pPr>
        <w:pStyle w:val="BodyText"/>
        <w:spacing w:before="5"/>
        <w:rPr>
          <w:sz w:val="22"/>
        </w:rPr>
      </w:pPr>
    </w:p>
    <w:p>
      <w:pPr>
        <w:spacing w:before="0"/>
        <w:ind w:left="71" w:right="0" w:firstLine="0"/>
        <w:jc w:val="left"/>
        <w:rPr>
          <w:sz w:val="20"/>
        </w:rPr>
      </w:pPr>
      <w:r>
        <w:rPr>
          <w:sz w:val="20"/>
        </w:rPr>
        <w:t>營業部分 非營業部分</w:t>
      </w:r>
    </w:p>
    <w:p>
      <w:pPr>
        <w:pStyle w:val="BodyText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pStyle w:val="BodyText"/>
        <w:spacing w:before="7"/>
        <w:rPr>
          <w:sz w:val="17"/>
        </w:rPr>
      </w:pPr>
    </w:p>
    <w:p>
      <w:pPr>
        <w:spacing w:before="0"/>
        <w:ind w:left="856" w:right="0" w:firstLine="0"/>
        <w:jc w:val="left"/>
        <w:rPr>
          <w:sz w:val="20"/>
        </w:rPr>
      </w:pPr>
      <w:r>
        <w:rPr>
          <w:spacing w:val="-7"/>
          <w:sz w:val="20"/>
        </w:rPr>
        <w:t>總收入</w:t>
      </w:r>
    </w:p>
    <w:p>
      <w:pPr>
        <w:spacing w:before="32"/>
        <w:ind w:left="906" w:right="0" w:firstLine="0"/>
        <w:jc w:val="left"/>
        <w:rPr>
          <w:sz w:val="20"/>
        </w:rPr>
      </w:pPr>
      <w:r>
        <w:rPr>
          <w:sz w:val="20"/>
        </w:rPr>
        <w:t>90.58</w:t>
      </w:r>
    </w:p>
    <w:p>
      <w:pPr>
        <w:pStyle w:val="BodyText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pStyle w:val="BodyText"/>
        <w:spacing w:before="1"/>
        <w:rPr>
          <w:sz w:val="17"/>
        </w:rPr>
      </w:pPr>
    </w:p>
    <w:p>
      <w:pPr>
        <w:spacing w:before="1"/>
        <w:ind w:left="223" w:right="0" w:firstLine="0"/>
        <w:jc w:val="left"/>
        <w:rPr>
          <w:sz w:val="20"/>
        </w:rPr>
      </w:pPr>
      <w:r>
        <w:rPr>
          <w:sz w:val="20"/>
        </w:rPr>
        <w:t>總支出</w:t>
      </w:r>
    </w:p>
    <w:p>
      <w:pPr>
        <w:spacing w:before="32"/>
        <w:ind w:left="273" w:right="0" w:firstLine="0"/>
        <w:jc w:val="left"/>
        <w:rPr>
          <w:sz w:val="20"/>
        </w:rPr>
      </w:pPr>
      <w:r>
        <w:rPr>
          <w:sz w:val="20"/>
        </w:rPr>
        <w:t>87.63</w:t>
      </w:r>
    </w:p>
    <w:p>
      <w:pPr>
        <w:spacing w:after="0"/>
        <w:jc w:val="left"/>
        <w:rPr>
          <w:sz w:val="20"/>
        </w:rPr>
        <w:sectPr>
          <w:type w:val="continuous"/>
          <w:pgSz w:w="10800" w:h="14810"/>
          <w:pgMar w:top="1580" w:bottom="280" w:left="820" w:right="500"/>
          <w:cols w:num="5" w:equalWidth="0">
            <w:col w:w="1457" w:space="40"/>
            <w:col w:w="2134" w:space="39"/>
            <w:col w:w="2109" w:space="169"/>
            <w:col w:w="1457" w:space="39"/>
            <w:col w:w="2036"/>
          </w:cols>
        </w:sectPr>
      </w:pPr>
    </w:p>
    <w:p>
      <w:pPr>
        <w:pStyle w:val="BodyText"/>
        <w:spacing w:before="5"/>
        <w:rPr>
          <w:sz w:val="12"/>
        </w:rPr>
      </w:pPr>
    </w:p>
    <w:p>
      <w:pPr>
        <w:tabs>
          <w:tab w:pos="7665" w:val="left" w:leader="none"/>
        </w:tabs>
        <w:spacing w:before="68"/>
        <w:ind w:left="1702" w:right="0" w:firstLine="0"/>
        <w:jc w:val="left"/>
        <w:rPr>
          <w:sz w:val="16"/>
        </w:rPr>
      </w:pPr>
      <w:r>
        <w:rPr>
          <w:position w:val="2"/>
          <w:sz w:val="16"/>
        </w:rPr>
        <w:t>淨利0.005</w:t>
        <w:tab/>
      </w:r>
      <w:r>
        <w:rPr>
          <w:sz w:val="16"/>
        </w:rPr>
        <w:t>賸餘2.95</w:t>
      </w: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16"/>
        </w:rPr>
      </w:pPr>
    </w:p>
    <w:p>
      <w:pPr>
        <w:tabs>
          <w:tab w:pos="6957" w:val="left" w:leader="none"/>
        </w:tabs>
        <w:spacing w:before="0"/>
        <w:ind w:left="969" w:right="0" w:firstLine="0"/>
        <w:jc w:val="left"/>
        <w:rPr>
          <w:sz w:val="18"/>
        </w:rPr>
      </w:pPr>
      <w:r>
        <w:rPr>
          <w:sz w:val="18"/>
        </w:rPr>
        <w:t>繳庫數0.002</w:t>
        <w:tab/>
        <w:t>繳庫數0.06</w:t>
      </w:r>
    </w:p>
    <w:p>
      <w:pPr>
        <w:spacing w:after="0"/>
        <w:jc w:val="left"/>
        <w:rPr>
          <w:sz w:val="18"/>
        </w:rPr>
        <w:sectPr>
          <w:type w:val="continuous"/>
          <w:pgSz w:w="10800" w:h="14810"/>
          <w:pgMar w:top="1580" w:bottom="280" w:left="820" w:right="500"/>
        </w:sectPr>
      </w:pPr>
    </w:p>
    <w:p>
      <w:pPr>
        <w:pStyle w:val="BodyText"/>
        <w:ind w:left="2272"/>
        <w:rPr>
          <w:sz w:val="20"/>
        </w:rPr>
      </w:pPr>
      <w:r>
        <w:rPr>
          <w:sz w:val="20"/>
        </w:rPr>
        <w:pict>
          <v:group style="width:300.4pt;height:33.1pt;mso-position-horizontal-relative:char;mso-position-vertical-relative:line" coordorigin="0,0" coordsize="6008,662">
            <v:line style="position:absolute" from="1,617" to="6006,617" stroked="true" strokeweight="4.243pt" strokecolor="#846f97">
              <v:stroke dashstyle="solid"/>
            </v:line>
            <v:line style="position:absolute" from="1,575" to="86,660" stroked="true" strokeweight=".12pt" strokecolor="#846f97">
              <v:stroke dashstyle="solid"/>
            </v:line>
            <v:shape style="position:absolute;left:5921;top:0;width:85;height:660" coordorigin="5921,0" coordsize="85,660" path="m5921,0l5921,575,6006,660,6006,85,5921,0xe" filled="true" fillcolor="#c3a6e0" stroked="false">
              <v:path arrowok="t"/>
              <v:fill type="solid"/>
            </v:shape>
            <v:line style="position:absolute" from="5921,575" to="6006,660" stroked="true" strokeweight=".12pt" strokecolor="#c3a6e0">
              <v:stroke dashstyle="solid"/>
            </v:line>
            <v:shape style="position:absolute;left:1;top:0;width:5920;height:575" type="#_x0000_t75" stroked="false">
              <v:imagedata r:id="rId43" o:title=""/>
            </v:shape>
            <v:shape style="position:absolute;left:1;top:0;width:5920;height:575" type="#_x0000_t202" filled="false" stroked="false">
              <v:textbox inset="0,0,0,0">
                <w:txbxContent>
                  <w:p>
                    <w:pPr>
                      <w:spacing w:before="47"/>
                      <w:ind w:left="321" w:right="0" w:firstLine="0"/>
                      <w:jc w:val="left"/>
                      <w:rPr>
                        <w:sz w:val="34"/>
                      </w:rPr>
                    </w:pPr>
                    <w:bookmarkStart w:name="政府審計業務處理簡圖定" w:id="6"/>
                    <w:bookmarkEnd w:id="6"/>
                    <w:r>
                      <w:rPr/>
                    </w:r>
                    <w:r>
                      <w:rPr>
                        <w:sz w:val="34"/>
                      </w:rPr>
                      <w:t>政 府 審 計 業 務 處 理 簡 圖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16"/>
        </w:rPr>
      </w:pPr>
    </w:p>
    <w:p>
      <w:pPr>
        <w:spacing w:line="232" w:lineRule="auto" w:before="0"/>
        <w:ind w:left="8108" w:right="274" w:firstLine="0"/>
        <w:jc w:val="right"/>
        <w:rPr>
          <w:sz w:val="22"/>
        </w:rPr>
      </w:pPr>
      <w:r>
        <w:rPr/>
        <w:pict>
          <v:shape style="position:absolute;margin-left:317.549988pt;margin-top:30.620033pt;width:97.7pt;height:28.7pt;mso-position-horizontal-relative:page;mso-position-vertical-relative:paragraph;z-index:-251655168;mso-wrap-distance-left:0;mso-wrap-distance-right:0" type="#_x0000_t202" filled="false" stroked="false">
            <v:textbox inset="0,0,0,0">
              <w:txbxContent>
                <w:p>
                  <w:pPr>
                    <w:spacing w:before="107"/>
                    <w:ind w:left="35" w:right="-15" w:firstLine="0"/>
                    <w:jc w:val="left"/>
                    <w:rPr>
                      <w:sz w:val="24"/>
                    </w:rPr>
                  </w:pPr>
                  <w:r>
                    <w:rPr>
                      <w:spacing w:val="50"/>
                      <w:sz w:val="24"/>
                    </w:rPr>
                    <w:t>剔除不當支 出</w:t>
                  </w:r>
                </w:p>
              </w:txbxContent>
            </v:textbox>
            <w10:wrap type="topAndBottom"/>
          </v:shape>
        </w:pict>
      </w:r>
      <w:r>
        <w:rPr/>
        <w:pict>
          <v:group style="position:absolute;margin-left:29.690001pt;margin-top:-21.779993pt;width:525.25pt;height:609.75pt;mso-position-horizontal-relative:page;mso-position-vertical-relative:paragraph;z-index:-252464128" coordorigin="594,-436" coordsize="10505,12195">
            <v:line style="position:absolute" from="2321,10135" to="3102,10135" stroked="true" strokeweight=".75pt" strokecolor="#000000">
              <v:stroke dashstyle="solid"/>
            </v:line>
            <v:line style="position:absolute" from="2414,10136" to="2737,10136" stroked="true" strokeweight=".75pt" strokecolor="#000000">
              <v:stroke dashstyle="solid"/>
            </v:line>
            <v:line style="position:absolute" from="2779,6897" to="3105,6897" stroked="true" strokeweight=".75pt" strokecolor="#000000">
              <v:stroke dashstyle="solid"/>
            </v:line>
            <v:line style="position:absolute" from="2776,3636" to="3102,3636" stroked="true" strokeweight=".75pt" strokecolor="#000000">
              <v:stroke dashstyle="solid"/>
            </v:line>
            <v:line style="position:absolute" from="2782,479" to="3108,479" stroked="true" strokeweight=".75pt" strokecolor="#000000">
              <v:stroke dashstyle="solid"/>
            </v:line>
            <v:line style="position:absolute" from="3104,4108" to="4615,4108" stroked="true" strokeweight=".75pt" strokecolor="#000000">
              <v:stroke dashstyle="solid"/>
            </v:line>
            <v:line style="position:absolute" from="3302,4396" to="4430,4396" stroked="true" strokeweight="4.243pt" strokecolor="#1e791e">
              <v:stroke dashstyle="solid"/>
            </v:line>
            <v:line style="position:absolute" from="3302,4353" to="3387,4438" stroked="true" strokeweight=".12pt" strokecolor="#1e791e">
              <v:stroke dashstyle="solid"/>
            </v:line>
            <v:shape style="position:absolute;left:4345;top:3769;width:85;height:669" coordorigin="4345,3769" coordsize="85,669" path="m4345,3769l4345,4353,4430,4438,4430,3854,4345,3769xe" filled="true" fillcolor="#2cb42c" stroked="false">
              <v:path arrowok="t"/>
              <v:fill type="solid"/>
            </v:shape>
            <v:line style="position:absolute" from="4345,4353" to="4430,4438" stroked="true" strokeweight=".12pt" strokecolor="#2cb42c">
              <v:stroke dashstyle="solid"/>
            </v:line>
            <v:shape style="position:absolute;left:3302;top:3769;width:1043;height:584" type="#_x0000_t75" stroked="false">
              <v:imagedata r:id="rId44" o:title=""/>
            </v:shape>
            <v:line style="position:absolute" from="3104,479" to="3104,10143" stroked="true" strokeweight=".75pt" strokecolor="#000000">
              <v:stroke dashstyle="solid"/>
            </v:line>
            <v:line style="position:absolute" from="4298,7322" to="4610,7322" stroked="true" strokeweight=".75pt" strokecolor="#000000">
              <v:stroke dashstyle="solid"/>
            </v:line>
            <v:line style="position:absolute" from="4621,-96" to="4621,8096" stroked="true" strokeweight=".75pt" strokecolor="#000000">
              <v:stroke dashstyle="solid"/>
            </v:line>
            <v:line style="position:absolute" from="4631,2493" to="5128,2493" stroked="true" strokeweight=".75pt" strokecolor="#000000">
              <v:stroke dashstyle="solid"/>
            </v:line>
            <v:line style="position:absolute" from="4615,8097" to="5108,8097" stroked="true" strokeweight=".75pt" strokecolor="#000000">
              <v:stroke dashstyle="solid"/>
            </v:line>
            <v:line style="position:absolute" from="4626,-96" to="5394,-96" stroked="true" strokeweight=".75pt" strokecolor="#000000">
              <v:stroke dashstyle="solid"/>
            </v:line>
            <v:line style="position:absolute" from="1538,463" to="1531,10135" stroked="true" strokeweight=".75pt" strokecolor="#000000">
              <v:stroke dashstyle="solid"/>
            </v:line>
            <v:line style="position:absolute" from="1531,3631" to="2727,3631" stroked="true" strokeweight=".75pt" strokecolor="#000000">
              <v:stroke dashstyle="solid"/>
            </v:line>
            <v:line style="position:absolute" from="1531,10135" to="2490,10135" stroked="true" strokeweight=".75pt" strokecolor="#000000">
              <v:stroke dashstyle="solid"/>
            </v:line>
            <v:line style="position:absolute" from="1531,6888" to="2312,6888" stroked="true" strokeweight=".75pt" strokecolor="#000000">
              <v:stroke dashstyle="solid"/>
            </v:line>
            <v:line style="position:absolute" from="3108,7317" to="3830,7317" stroked="true" strokeweight=".75pt" strokecolor="#000000">
              <v:stroke dashstyle="solid"/>
            </v:line>
            <v:line style="position:absolute" from="3104,796" to="3838,796" stroked="true" strokeweight=".75pt" strokecolor="#000000">
              <v:stroke dashstyle="solid"/>
            </v:line>
            <v:line style="position:absolute" from="1531,472" to="2123,472" stroked="true" strokeweight=".75pt" strokecolor="#000000">
              <v:stroke dashstyle="solid"/>
            </v:line>
            <v:line style="position:absolute" from="1213,5580" to="1527,5580" stroked="true" strokeweight=".75pt" strokecolor="#000000">
              <v:stroke dashstyle="solid"/>
            </v:line>
            <v:line style="position:absolute" from="2387,479" to="2725,479" stroked="true" strokeweight=".75pt" strokecolor="#000000">
              <v:stroke dashstyle="solid"/>
            </v:line>
            <v:line style="position:absolute" from="2387,6880" to="2725,6880" stroked="true" strokeweight=".75pt" strokecolor="#000000">
              <v:stroke dashstyle="solid"/>
            </v:line>
            <v:line style="position:absolute" from="4282,788" to="4608,788" stroked="true" strokeweight=".75pt" strokecolor="#000000">
              <v:stroke dashstyle="solid"/>
            </v:line>
            <v:shape style="position:absolute;left:595;top:6553;width:618;height:85" coordorigin="595,6553" coordsize="618,85" path="m1128,6553l595,6553,680,6638,1213,6638,1128,6553xe" filled="true" fillcolor="#975b1e" stroked="false">
              <v:path arrowok="t"/>
              <v:fill type="solid"/>
            </v:shape>
            <v:line style="position:absolute" from="595,6553" to="680,6638" stroked="true" strokeweight=".12pt" strokecolor="#975b1e">
              <v:stroke dashstyle="solid"/>
            </v:line>
            <v:line style="position:absolute" from="1170,4486" to="1170,6638" stroked="true" strokeweight="4.243pt" strokecolor="#e0862c">
              <v:stroke dashstyle="solid"/>
            </v:line>
            <v:line style="position:absolute" from="1128,6553" to="1213,6638" stroked="true" strokeweight=".12pt" strokecolor="#e0862c">
              <v:stroke dashstyle="solid"/>
            </v:line>
            <v:shape style="position:absolute;left:595;top:4486;width:533;height:2067" type="#_x0000_t75" stroked="false">
              <v:imagedata r:id="rId45" o:title=""/>
            </v:shape>
            <v:line style="position:absolute" from="1741,839" to="2926,839" stroked="true" strokeweight="4.243pt" strokecolor="#5b3b97">
              <v:stroke dashstyle="solid"/>
            </v:line>
            <v:line style="position:absolute" from="1741,796" to="1826,881" stroked="true" strokeweight=".12pt" strokecolor="#5b3b97">
              <v:stroke dashstyle="solid"/>
            </v:line>
            <v:shape style="position:absolute;left:2841;top:93;width:85;height:788" coordorigin="2841,93" coordsize="85,788" path="m2841,93l2841,796,2926,881,2926,178,2841,93xe" filled="true" fillcolor="#865ae0" stroked="false">
              <v:path arrowok="t"/>
              <v:fill type="solid"/>
            </v:shape>
            <v:line style="position:absolute" from="2841,796" to="2926,881" stroked="true" strokeweight=".12pt" strokecolor="#865ae0">
              <v:stroke dashstyle="solid"/>
            </v:line>
            <v:shape style="position:absolute;left:1741;top:93;width:1100;height:703" type="#_x0000_t75" stroked="false">
              <v:imagedata r:id="rId46" o:title=""/>
            </v:shape>
            <v:line style="position:absolute" from="1749,7273" to="2934,7273" stroked="true" strokeweight="4.243pt" strokecolor="#5b3b97">
              <v:stroke dashstyle="solid"/>
            </v:line>
            <v:line style="position:absolute" from="1749,7230" to="1834,7315" stroked="true" strokeweight=".12pt" strokecolor="#5b3b97">
              <v:stroke dashstyle="solid"/>
            </v:line>
            <v:shape style="position:absolute;left:2849;top:6527;width:85;height:788" coordorigin="2849,6527" coordsize="85,788" path="m2849,6527l2849,7230,2934,7315,2934,6612,2849,6527xe" filled="true" fillcolor="#865ae0" stroked="false">
              <v:path arrowok="t"/>
              <v:fill type="solid"/>
            </v:shape>
            <v:line style="position:absolute" from="2849,7230" to="2934,7315" stroked="true" strokeweight=".12pt" strokecolor="#865ae0">
              <v:stroke dashstyle="solid"/>
            </v:line>
            <v:shape style="position:absolute;left:1749;top:6527;width:1100;height:703" type="#_x0000_t75" stroked="false">
              <v:imagedata r:id="rId47" o:title=""/>
            </v:shape>
            <v:line style="position:absolute" from="1712,10522" to="2897,10522" stroked="true" strokeweight="4.243pt" strokecolor="#5b3b97">
              <v:stroke dashstyle="solid"/>
            </v:line>
            <v:line style="position:absolute" from="1712,10479" to="1797,10564" stroked="true" strokeweight=".12pt" strokecolor="#5b3b97">
              <v:stroke dashstyle="solid"/>
            </v:line>
            <v:shape style="position:absolute;left:2812;top:9776;width:85;height:788" coordorigin="2812,9776" coordsize="85,788" path="m2812,9776l2812,10479,2897,10564,2897,9861,2812,9776xe" filled="true" fillcolor="#865ae0" stroked="false">
              <v:path arrowok="t"/>
              <v:fill type="solid"/>
            </v:shape>
            <v:line style="position:absolute" from="2812,10479" to="2897,10564" stroked="true" strokeweight=".12pt" strokecolor="#865ae0">
              <v:stroke dashstyle="solid"/>
            </v:line>
            <v:shape style="position:absolute;left:1712;top:9776;width:1100;height:703" type="#_x0000_t75" stroked="false">
              <v:imagedata r:id="rId48" o:title=""/>
            </v:shape>
            <v:line style="position:absolute" from="1749,3963" to="2934,3963" stroked="true" strokeweight="4.243pt" strokecolor="#5b3b97">
              <v:stroke dashstyle="solid"/>
            </v:line>
            <v:line style="position:absolute" from="1749,3920" to="1834,4005" stroked="true" strokeweight=".12pt" strokecolor="#5b3b97">
              <v:stroke dashstyle="solid"/>
            </v:line>
            <v:shape style="position:absolute;left:2849;top:3217;width:85;height:788" coordorigin="2849,3217" coordsize="85,788" path="m2849,3217l2849,3920,2934,4005,2934,3302,2849,3217xe" filled="true" fillcolor="#865ae0" stroked="false">
              <v:path arrowok="t"/>
              <v:fill type="solid"/>
            </v:shape>
            <v:line style="position:absolute" from="2849,3920" to="2934,4005" stroked="true" strokeweight=".12pt" strokecolor="#865ae0">
              <v:stroke dashstyle="solid"/>
            </v:line>
            <v:shape style="position:absolute;left:1749;top:3217;width:1100;height:703" type="#_x0000_t75" stroked="false">
              <v:imagedata r:id="rId49" o:title=""/>
            </v:shape>
            <v:line style="position:absolute" from="3301,1069" to="4429,1069" stroked="true" strokeweight="4.243pt" strokecolor="#1e791e">
              <v:stroke dashstyle="solid"/>
            </v:line>
            <v:line style="position:absolute" from="3301,1026" to="3386,1111" stroked="true" strokeweight=".12pt" strokecolor="#1e791e">
              <v:stroke dashstyle="solid"/>
            </v:line>
            <v:shape style="position:absolute;left:4344;top:442;width:85;height:669" coordorigin="4344,442" coordsize="85,669" path="m4344,442l4344,1026,4429,1111,4429,527,4344,442xe" filled="true" fillcolor="#2cb42c" stroked="false">
              <v:path arrowok="t"/>
              <v:fill type="solid"/>
            </v:shape>
            <v:line style="position:absolute" from="4344,1026" to="4429,1111" stroked="true" strokeweight=".12pt" strokecolor="#2cb42c">
              <v:stroke dashstyle="solid"/>
            </v:line>
            <v:shape style="position:absolute;left:3301;top:442;width:1043;height:584" type="#_x0000_t75" stroked="false">
              <v:imagedata r:id="rId50" o:title=""/>
            </v:shape>
            <v:line style="position:absolute" from="3290,7614" to="4418,7614" stroked="true" strokeweight="4.243pt" strokecolor="#1e791e">
              <v:stroke dashstyle="solid"/>
            </v:line>
            <v:line style="position:absolute" from="3290,7571" to="3375,7656" stroked="true" strokeweight=".12pt" strokecolor="#1e791e">
              <v:stroke dashstyle="solid"/>
            </v:line>
            <v:shape style="position:absolute;left:4333;top:6987;width:85;height:669" coordorigin="4333,6987" coordsize="85,669" path="m4333,6987l4333,7571,4418,7656,4418,7072,4333,6987xe" filled="true" fillcolor="#2cb42c" stroked="false">
              <v:path arrowok="t"/>
              <v:fill type="solid"/>
            </v:shape>
            <v:line style="position:absolute" from="4333,7571" to="4418,7656" stroked="true" strokeweight=".12pt" strokecolor="#2cb42c">
              <v:stroke dashstyle="solid"/>
            </v:line>
            <v:shape style="position:absolute;left:3290;top:6987;width:1043;height:584" type="#_x0000_t75" stroked="false">
              <v:imagedata r:id="rId51" o:title=""/>
            </v:shape>
            <v:line style="position:absolute" from="5942,-96" to="6854,-96" stroked="true" strokeweight=".75pt" strokecolor="#000000">
              <v:stroke dashstyle="solid"/>
            </v:line>
            <v:line style="position:absolute" from="8273,-136" to="8592,-136" stroked="true" strokeweight=".75pt" strokecolor="#000000">
              <v:stroke dashstyle="solid"/>
            </v:line>
            <v:line style="position:absolute" from="6351,181" to="8390,181" stroked="true" strokeweight="4.243pt" strokecolor="#97975b">
              <v:stroke dashstyle="solid"/>
            </v:line>
            <v:line style="position:absolute" from="6351,138" to="6436,223" stroked="true" strokeweight=".12pt" strokecolor="#97975b">
              <v:stroke dashstyle="solid"/>
            </v:line>
            <v:shape style="position:absolute;left:8305;top:-436;width:85;height:659" coordorigin="8305,-436" coordsize="85,659" path="m8305,-436l8305,138,8390,223,8390,-351,8305,-436xe" filled="true" fillcolor="#e0e086" stroked="false">
              <v:path arrowok="t"/>
              <v:fill type="solid"/>
            </v:shape>
            <v:line style="position:absolute" from="8305,138" to="8390,223" stroked="true" strokeweight=".12pt" strokecolor="#e0e086">
              <v:stroke dashstyle="solid"/>
            </v:line>
            <v:shape style="position:absolute;left:6351;top:-436;width:1954;height:574" type="#_x0000_t75" stroked="false">
              <v:imagedata r:id="rId52" o:title=""/>
            </v:shape>
            <v:line style="position:absolute" from="4825,186" to="5975,186" stroked="true" strokeweight="4.243pt" strokecolor="#795b00">
              <v:stroke dashstyle="solid"/>
            </v:line>
            <v:line style="position:absolute" from="4825,143" to="4910,228" stroked="true" strokeweight=".12pt" strokecolor="#795b00">
              <v:stroke dashstyle="solid"/>
            </v:line>
            <v:shape style="position:absolute;left:5890;top:-432;width:85;height:660" coordorigin="5890,-432" coordsize="85,660" path="m5890,-432l5890,143,5975,228,5975,-347,5890,-432xe" filled="true" fillcolor="#b48600" stroked="false">
              <v:path arrowok="t"/>
              <v:fill type="solid"/>
            </v:shape>
            <v:line style="position:absolute" from="5890,143" to="5975,228" stroked="true" strokeweight=".12pt" strokecolor="#b48600">
              <v:stroke dashstyle="solid"/>
            </v:line>
            <v:shape style="position:absolute;left:4825;top:-432;width:1065;height:575" type="#_x0000_t75" stroked="false">
              <v:imagedata r:id="rId53" o:title=""/>
            </v:shape>
            <v:line style="position:absolute" from="4825,2802" to="5975,2802" stroked="true" strokeweight="4.243pt" strokecolor="#795b00">
              <v:stroke dashstyle="solid"/>
            </v:line>
            <v:line style="position:absolute" from="4825,2759" to="4910,2844" stroked="true" strokeweight=".12pt" strokecolor="#795b00">
              <v:stroke dashstyle="solid"/>
            </v:line>
            <v:line style="position:absolute" from="5599,2543" to="6096,2543" stroked="true" strokeweight=".75pt" strokecolor="#000000">
              <v:stroke dashstyle="solid"/>
            </v:line>
            <v:shape style="position:absolute;left:5890;top:2185;width:85;height:659" coordorigin="5890,2185" coordsize="85,659" path="m5890,2185l5890,2759,5975,2844,5975,2270,5890,2185xe" filled="true" fillcolor="#b48600" stroked="false">
              <v:path arrowok="t"/>
              <v:fill type="solid"/>
            </v:shape>
            <v:line style="position:absolute" from="5890,2759" to="5975,2844" stroked="true" strokeweight=".12pt" strokecolor="#b48600">
              <v:stroke dashstyle="solid"/>
            </v:line>
            <v:shape style="position:absolute;left:4825;top:2185;width:1065;height:574" type="#_x0000_t75" stroked="false">
              <v:imagedata r:id="rId54" o:title=""/>
            </v:shape>
            <v:line style="position:absolute" from="6074,8486" to="6483,8486" stroked="true" strokeweight=".75pt" strokecolor="#000000">
              <v:stroke dashstyle="solid"/>
            </v:line>
            <v:line style="position:absolute" from="6051,11195" to="6454,11196" stroked="true" strokeweight=".75pt" strokecolor="#000000">
              <v:stroke dashstyle="solid"/>
            </v:line>
            <v:line style="position:absolute" from="6068,6032" to="6051,11202" stroked="true" strokeweight=".75pt" strokecolor="#000000">
              <v:stroke dashstyle="solid"/>
            </v:line>
            <v:line style="position:absolute" from="6063,6025" to="6460,6025" stroked="true" strokeweight=".75pt" strokecolor="#000000">
              <v:stroke dashstyle="solid"/>
            </v:line>
            <v:line style="position:absolute" from="6063,6862" to="6472,6862" stroked="true" strokeweight=".75pt" strokecolor="#000000">
              <v:stroke dashstyle="solid"/>
            </v:line>
            <v:line style="position:absolute" from="6063,7684" to="6472,7684" stroked="true" strokeweight=".75pt" strokecolor="#000000">
              <v:stroke dashstyle="solid"/>
            </v:line>
            <v:line style="position:absolute" from="6054,9406" to="6463,9406" stroked="true" strokeweight=".75pt" strokecolor="#000000">
              <v:stroke dashstyle="solid"/>
            </v:line>
            <v:line style="position:absolute" from="6055,10298" to="6463,10298" stroked="true" strokeweight=".75pt" strokecolor="#000000">
              <v:stroke dashstyle="solid"/>
            </v:line>
            <v:line style="position:absolute" from="5646,8129" to="6049,8129" stroked="true" strokeweight=".75pt" strokecolor="#000000">
              <v:stroke dashstyle="solid"/>
            </v:line>
            <v:line style="position:absolute" from="4773,8389" to="5923,8389" stroked="true" strokeweight="4.243pt" strokecolor="#795b00">
              <v:stroke dashstyle="solid"/>
            </v:line>
            <v:line style="position:absolute" from="4773,8346" to="4858,8431" stroked="true" strokeweight=".12pt" strokecolor="#795b00">
              <v:stroke dashstyle="solid"/>
            </v:line>
            <v:shape style="position:absolute;left:5838;top:7772;width:85;height:659" coordorigin="5838,7772" coordsize="85,659" path="m5838,7772l5838,8346,5923,8431,5923,7857,5838,7772xe" filled="true" fillcolor="#b48600" stroked="false">
              <v:path arrowok="t"/>
              <v:fill type="solid"/>
            </v:shape>
            <v:line style="position:absolute" from="5838,8346" to="5923,8431" stroked="true" strokeweight=".12pt" strokecolor="#b48600">
              <v:stroke dashstyle="solid"/>
            </v:line>
            <v:shape style="position:absolute;left:4773;top:7772;width:1065;height:574" type="#_x0000_t75" stroked="false">
              <v:imagedata r:id="rId55" o:title=""/>
            </v:shape>
            <v:line style="position:absolute" from="6351,1229" to="8390,1229" stroked="true" strokeweight="4.243pt" strokecolor="#97975b">
              <v:stroke dashstyle="solid"/>
            </v:line>
            <v:line style="position:absolute" from="6351,1186" to="6436,1271" stroked="true" strokeweight=".12pt" strokecolor="#97975b">
              <v:stroke dashstyle="solid"/>
            </v:line>
            <v:line style="position:absolute" from="8283,915" to="8589,915" stroked="true" strokeweight=".75pt" strokecolor="#000000">
              <v:stroke dashstyle="solid"/>
            </v:line>
            <v:shape style="position:absolute;left:8305;top:612;width:85;height:659" coordorigin="8305,612" coordsize="85,659" path="m8305,612l8305,1186,8390,1271,8390,697,8305,612xe" filled="true" fillcolor="#e0e086" stroked="false">
              <v:path arrowok="t"/>
              <v:fill type="solid"/>
            </v:shape>
            <v:line style="position:absolute" from="8305,1186" to="8390,1271" stroked="true" strokeweight=".12pt" strokecolor="#e0e086">
              <v:stroke dashstyle="solid"/>
            </v:line>
            <v:line style="position:absolute" from="6107,930" to="6402,930" stroked="true" strokeweight=".75pt" strokecolor="#000000">
              <v:stroke dashstyle="solid"/>
            </v:line>
            <v:shape style="position:absolute;left:6351;top:612;width:1954;height:574" type="#_x0000_t75" stroked="false">
              <v:imagedata r:id="rId56" o:title=""/>
            </v:shape>
            <v:line style="position:absolute" from="6351,2222" to="8390,2222" stroked="true" strokeweight="4.243pt" strokecolor="#97975b">
              <v:stroke dashstyle="solid"/>
            </v:line>
            <v:line style="position:absolute" from="6351,2179" to="6436,2264" stroked="true" strokeweight=".12pt" strokecolor="#97975b">
              <v:stroke dashstyle="solid"/>
            </v:line>
            <v:line style="position:absolute" from="8290,1904" to="8871,1904" stroked="true" strokeweight=".75pt" strokecolor="#000000">
              <v:stroke dashstyle="solid"/>
            </v:line>
            <v:shape style="position:absolute;left:8305;top:1605;width:85;height:659" coordorigin="8305,1605" coordsize="85,659" path="m8305,1605l8305,2179,8390,2264,8390,1690,8305,1605xe" filled="true" fillcolor="#e0e086" stroked="false">
              <v:path arrowok="t"/>
              <v:fill type="solid"/>
            </v:shape>
            <v:line style="position:absolute" from="8305,2179" to="8390,2264" stroked="true" strokeweight=".12pt" strokecolor="#e0e086">
              <v:stroke dashstyle="solid"/>
            </v:line>
            <v:line style="position:absolute" from="6099,1934" to="6508,1934" stroked="true" strokeweight=".75pt" strokecolor="#000000">
              <v:stroke dashstyle="solid"/>
            </v:line>
            <v:shape style="position:absolute;left:6351;top:1605;width:1954;height:574" type="#_x0000_t75" stroked="false">
              <v:imagedata r:id="rId57" o:title=""/>
            </v:shape>
            <v:line style="position:absolute" from="6334,3472" to="8373,3472" stroked="true" strokeweight="4.243pt" strokecolor="#97975b">
              <v:stroke dashstyle="solid"/>
            </v:line>
            <v:line style="position:absolute" from="6334,3429" to="6419,3514" stroked="true" strokeweight=".12pt" strokecolor="#97975b">
              <v:stroke dashstyle="solid"/>
            </v:line>
            <v:line style="position:absolute" from="8283,3044" to="8819,3044" stroked="true" strokeweight=".75pt" strokecolor="#000000">
              <v:stroke dashstyle="solid"/>
            </v:line>
            <v:shape style="position:absolute;left:8288;top:2681;width:85;height:833" coordorigin="8288,2681" coordsize="85,833" path="m8288,2681l8288,3429,8373,3514,8373,2766,8288,2681xe" filled="true" fillcolor="#e0e086" stroked="false">
              <v:path arrowok="t"/>
              <v:fill type="solid"/>
            </v:shape>
            <v:line style="position:absolute" from="8288,3429" to="8373,3514" stroked="true" strokeweight=".12pt" strokecolor="#e0e086">
              <v:stroke dashstyle="solid"/>
            </v:line>
            <v:line style="position:absolute" from="6093,3072" to="6502,3072" stroked="true" strokeweight=".75pt" strokecolor="#000000">
              <v:stroke dashstyle="solid"/>
            </v:line>
            <v:shape style="position:absolute;left:6334;top:2681;width:1954;height:748" type="#_x0000_t75" stroked="false">
              <v:imagedata r:id="rId58" o:title=""/>
            </v:shape>
            <v:line style="position:absolute" from="8255,4292" to="8488,4292" stroked="true" strokeweight=".75pt" strokecolor="#000000">
              <v:stroke dashstyle="solid"/>
            </v:line>
            <v:line style="position:absolute" from="8496,4292" to="8491,5953" stroked="true" strokeweight=".75pt" strokecolor="#000000">
              <v:stroke dashstyle="solid"/>
            </v:line>
            <v:line style="position:absolute" from="8221,5957" to="8488,5957" stroked="true" strokeweight=".75pt" strokecolor="#000000">
              <v:stroke dashstyle="solid"/>
            </v:line>
            <v:line style="position:absolute" from="6344,4682" to="8383,4682" stroked="true" strokeweight="4.243pt" strokecolor="#97975b">
              <v:stroke dashstyle="solid"/>
            </v:line>
            <v:line style="position:absolute" from="6344,4639" to="6429,4724" stroked="true" strokeweight=".12pt" strokecolor="#97975b">
              <v:stroke dashstyle="solid"/>
            </v:line>
            <v:shape style="position:absolute;left:8298;top:3891;width:85;height:833" coordorigin="8298,3891" coordsize="85,833" path="m8298,3891l8298,4639,8383,4724,8383,3976,8298,3891xe" filled="true" fillcolor="#e0e086" stroked="false">
              <v:path arrowok="t"/>
              <v:fill type="solid"/>
            </v:shape>
            <v:line style="position:absolute" from="8298,4639" to="8383,4724" stroked="true" strokeweight=".12pt" strokecolor="#e0e086">
              <v:stroke dashstyle="solid"/>
            </v:line>
            <v:line style="position:absolute" from="6103,4311" to="6511,4311" stroked="true" strokeweight=".75pt" strokecolor="#000000">
              <v:stroke dashstyle="solid"/>
            </v:line>
            <v:shape style="position:absolute;left:6344;top:3891;width:1954;height:748" type="#_x0000_t75" stroked="false">
              <v:imagedata r:id="rId59" o:title=""/>
            </v:shape>
            <v:line style="position:absolute" from="8487,6155" to="8481,6955" stroked="true" strokeweight=".75pt" strokecolor="#000000">
              <v:stroke dashstyle="solid"/>
            </v:line>
            <v:line style="position:absolute" from="8234,6155" to="8488,6155" stroked="true" strokeweight=".75pt" strokecolor="#000000">
              <v:stroke dashstyle="solid"/>
            </v:line>
            <v:line style="position:absolute" from="8204,6950" to="8470,6950" stroked="true" strokeweight=".75pt" strokecolor="#000000">
              <v:stroke dashstyle="solid"/>
            </v:line>
            <v:line style="position:absolute" from="8475,6510" to="8777,6510" stroked="true" strokeweight=".75pt" strokecolor="#000000">
              <v:stroke dashstyle="solid"/>
            </v:line>
            <v:line style="position:absolute" from="6327,6334" to="8366,6334" stroked="true" strokeweight="4.243pt" strokecolor="#97975b">
              <v:stroke dashstyle="solid"/>
            </v:line>
            <v:line style="position:absolute" from="6327,6291" to="6412,6376" stroked="true" strokeweight=".12pt" strokecolor="#97975b">
              <v:stroke dashstyle="solid"/>
            </v:line>
            <v:shape style="position:absolute;left:8281;top:5717;width:85;height:659" coordorigin="8281,5717" coordsize="85,659" path="m8281,5717l8281,6291,8366,6376,8366,5802,8281,5717xe" filled="true" fillcolor="#e0e086" stroked="false">
              <v:path arrowok="t"/>
              <v:fill type="solid"/>
            </v:shape>
            <v:line style="position:absolute" from="8281,6291" to="8366,6376" stroked="true" strokeweight=".12pt" strokecolor="#e0e086">
              <v:stroke dashstyle="solid"/>
            </v:line>
            <v:shape style="position:absolute;left:6327;top:5717;width:1954;height:574" type="#_x0000_t75" stroked="false">
              <v:imagedata r:id="rId60" o:title=""/>
            </v:shape>
            <v:line style="position:absolute" from="6327,7175" to="8366,7175" stroked="true" strokeweight="4.243pt" strokecolor="#97975b">
              <v:stroke dashstyle="solid"/>
            </v:line>
            <v:line style="position:absolute" from="6327,7132" to="6412,7217" stroked="true" strokeweight=".12pt" strokecolor="#97975b">
              <v:stroke dashstyle="solid"/>
            </v:line>
            <v:shape style="position:absolute;left:8281;top:6558;width:85;height:659" coordorigin="8281,6558" coordsize="85,659" path="m8281,6558l8281,7132,8366,7217,8366,6643,8281,6558xe" filled="true" fillcolor="#e0e086" stroked="false">
              <v:path arrowok="t"/>
              <v:fill type="solid"/>
            </v:shape>
            <v:line style="position:absolute" from="8281,7132" to="8366,7217" stroked="true" strokeweight=".12pt" strokecolor="#e0e086">
              <v:stroke dashstyle="solid"/>
            </v:line>
            <v:shape style="position:absolute;left:6327;top:6558;width:1954;height:574" type="#_x0000_t75" stroked="false">
              <v:imagedata r:id="rId61" o:title=""/>
            </v:shape>
            <v:line style="position:absolute" from="8276,8518" to="8786,8518" stroked="true" strokeweight=".75pt" strokecolor="#000000">
              <v:stroke dashstyle="solid"/>
            </v:line>
            <v:line style="position:absolute" from="8487,7734" to="8487,9423" stroked="true" strokeweight=".75pt" strokecolor="#000000">
              <v:stroke dashstyle="solid"/>
            </v:line>
            <v:line style="position:absolute" from="8213,9430" to="8486,9430" stroked="true" strokeweight=".75pt" strokecolor="#000000">
              <v:stroke dashstyle="solid"/>
            </v:line>
            <v:line style="position:absolute" from="8227,7744" to="8494,7744" stroked="true" strokeweight=".75pt" strokecolor="#000000">
              <v:stroke dashstyle="solid"/>
            </v:line>
            <v:line style="position:absolute" from="6313,8022" to="8352,8022" stroked="true" strokeweight="4.243pt" strokecolor="#97975b">
              <v:stroke dashstyle="solid"/>
            </v:line>
            <v:line style="position:absolute" from="6313,7979" to="6398,8064" stroked="true" strokeweight=".12pt" strokecolor="#97975b">
              <v:stroke dashstyle="solid"/>
            </v:line>
            <v:shape style="position:absolute;left:8267;top:7404;width:85;height:660" coordorigin="8267,7404" coordsize="85,660" path="m8267,7404l8267,7979,8352,8064,8352,7489,8267,7404xe" filled="true" fillcolor="#e0e086" stroked="false">
              <v:path arrowok="t"/>
              <v:fill type="solid"/>
            </v:shape>
            <v:line style="position:absolute" from="8267,7979" to="8352,8064" stroked="true" strokeweight=".12pt" strokecolor="#e0e086">
              <v:stroke dashstyle="solid"/>
            </v:line>
            <v:shape style="position:absolute;left:6313;top:7404;width:1954;height:575" type="#_x0000_t75" stroked="false">
              <v:imagedata r:id="rId62" o:title=""/>
            </v:shape>
            <v:line style="position:absolute" from="6306,8835" to="8345,8835" stroked="true" strokeweight="4.243pt" strokecolor="#97975b">
              <v:stroke dashstyle="solid"/>
            </v:line>
            <v:line style="position:absolute" from="6306,8792" to="6391,8877" stroked="true" strokeweight=".12pt" strokecolor="#97975b">
              <v:stroke dashstyle="solid"/>
            </v:line>
            <v:shape style="position:absolute;left:8260;top:8218;width:85;height:659" coordorigin="8260,8218" coordsize="85,659" path="m8260,8218l8260,8792,8345,8877,8345,8303,8260,8218xe" filled="true" fillcolor="#e0e086" stroked="false">
              <v:path arrowok="t"/>
              <v:fill type="solid"/>
            </v:shape>
            <v:line style="position:absolute" from="8260,8792" to="8345,8877" stroked="true" strokeweight=".12pt" strokecolor="#e0e086">
              <v:stroke dashstyle="solid"/>
            </v:line>
            <v:shape style="position:absolute;left:6306;top:8218;width:1954;height:574" type="#_x0000_t75" stroked="false">
              <v:imagedata r:id="rId63" o:title=""/>
            </v:shape>
            <v:line style="position:absolute" from="8811,2242" to="11090,2242" stroked="true" strokeweight="4.243pt" strokecolor="#1e7997">
              <v:stroke dashstyle="solid"/>
            </v:line>
            <v:line style="position:absolute" from="8811,2199" to="8896,2284" stroked="true" strokeweight=".12pt" strokecolor="#1e7997">
              <v:stroke dashstyle="solid"/>
            </v:line>
            <v:shape style="position:absolute;left:11005;top:1452;width:85;height:832" coordorigin="11005,1452" coordsize="85,832" path="m11005,1452l11005,2199,11090,2284,11090,1537,11005,1452xe" filled="true" fillcolor="#2cb4e0" stroked="false">
              <v:path arrowok="t"/>
              <v:fill type="solid"/>
            </v:shape>
            <v:line style="position:absolute" from="11005,2199" to="11090,2284" stroked="true" strokeweight=".12pt" strokecolor="#2cb4e0">
              <v:stroke dashstyle="solid"/>
            </v:line>
            <v:shape style="position:absolute;left:8811;top:1452;width:2194;height:747" type="#_x0000_t75" stroked="false">
              <v:imagedata r:id="rId64" o:title=""/>
            </v:shape>
            <v:line style="position:absolute" from="8818,3435" to="11097,3435" stroked="true" strokeweight="4.243pt" strokecolor="#1e7997">
              <v:stroke dashstyle="solid"/>
            </v:line>
            <v:line style="position:absolute" from="8818,3392" to="8903,3477" stroked="true" strokeweight=".12pt" strokecolor="#1e7997">
              <v:stroke dashstyle="solid"/>
            </v:line>
            <v:shape style="position:absolute;left:11012;top:2646;width:85;height:831" coordorigin="11012,2646" coordsize="85,831" path="m11012,2646l11012,3392,11097,3477,11097,2731,11012,2646xe" filled="true" fillcolor="#2cb4e0" stroked="false">
              <v:path arrowok="t"/>
              <v:fill type="solid"/>
            </v:shape>
            <v:line style="position:absolute" from="11012,3392" to="11097,3477" stroked="true" strokeweight=".12pt" strokecolor="#2cb4e0">
              <v:stroke dashstyle="solid"/>
            </v:line>
            <v:shape style="position:absolute;left:8818;top:2646;width:2194;height:746" type="#_x0000_t75" stroked="false">
              <v:imagedata r:id="rId65" o:title=""/>
            </v:shape>
            <v:line style="position:absolute" from="8783,4886" to="11062,4886" stroked="true" strokeweight="4.243pt" strokecolor="#1e7997">
              <v:stroke dashstyle="solid"/>
            </v:line>
            <v:line style="position:absolute" from="8783,4843" to="8868,4928" stroked="true" strokeweight=".12pt" strokecolor="#1e7997">
              <v:stroke dashstyle="solid"/>
            </v:line>
            <v:shape style="position:absolute;left:10977;top:4097;width:85;height:831" coordorigin="10977,4097" coordsize="85,831" path="m10977,4097l10977,4843,11062,4928,11062,4182,10977,4097xe" filled="true" fillcolor="#2cb4e0" stroked="false">
              <v:path arrowok="t"/>
              <v:fill type="solid"/>
            </v:shape>
            <v:line style="position:absolute" from="10977,4843" to="11062,4928" stroked="true" strokeweight=".12pt" strokecolor="#2cb4e0">
              <v:stroke dashstyle="solid"/>
            </v:line>
            <v:shape style="position:absolute;left:8783;top:4097;width:2194;height:746" type="#_x0000_t75" stroked="false">
              <v:imagedata r:id="rId66" o:title=""/>
            </v:shape>
            <v:line style="position:absolute" from="8783,5914" to="11062,5914" stroked="true" strokeweight="4.243pt" strokecolor="#1e7997">
              <v:stroke dashstyle="solid"/>
            </v:line>
            <v:line style="position:absolute" from="8783,5871" to="8868,5956" stroked="true" strokeweight=".12pt" strokecolor="#1e7997">
              <v:stroke dashstyle="solid"/>
            </v:line>
            <v:shape style="position:absolute;left:10977;top:5124;width:85;height:832" coordorigin="10977,5124" coordsize="85,832" path="m10977,5124l10977,5871,11062,5956,11062,5209,10977,5124xe" filled="true" fillcolor="#2cb4e0" stroked="false">
              <v:path arrowok="t"/>
              <v:fill type="solid"/>
            </v:shape>
            <v:line style="position:absolute" from="10977,5871" to="11062,5956" stroked="true" strokeweight=".12pt" strokecolor="#2cb4e0">
              <v:stroke dashstyle="solid"/>
            </v:line>
            <v:shape style="position:absolute;left:8783;top:5124;width:2194;height:747" type="#_x0000_t75" stroked="false">
              <v:imagedata r:id="rId67" o:title=""/>
            </v:shape>
            <v:line style="position:absolute" from="8783,6931" to="11062,6931" stroked="true" strokeweight="4.243pt" strokecolor="#1e7997">
              <v:stroke dashstyle="solid"/>
            </v:line>
            <v:line style="position:absolute" from="8783,6888" to="8868,6973" stroked="true" strokeweight=".12pt" strokecolor="#1e7997">
              <v:stroke dashstyle="solid"/>
            </v:line>
            <v:shape style="position:absolute;left:10977;top:6142;width:85;height:831" coordorigin="10977,6142" coordsize="85,831" path="m10977,6142l10977,6888,11062,6973,11062,6227,10977,6142xe" filled="true" fillcolor="#2cb4e0" stroked="false">
              <v:path arrowok="t"/>
              <v:fill type="solid"/>
            </v:shape>
            <v:line style="position:absolute" from="10977,6888" to="11062,6973" stroked="true" strokeweight=".12pt" strokecolor="#2cb4e0">
              <v:stroke dashstyle="solid"/>
            </v:line>
            <v:shape style="position:absolute;left:8783;top:6142;width:2194;height:746" type="#_x0000_t75" stroked="false">
              <v:imagedata r:id="rId68" o:title=""/>
            </v:shape>
            <v:line style="position:absolute" from="8783,8917" to="11062,8917" stroked="true" strokeweight="4.243pt" strokecolor="#1e7997">
              <v:stroke dashstyle="solid"/>
            </v:line>
            <v:line style="position:absolute" from="8783,8874" to="8868,8959" stroked="true" strokeweight=".12pt" strokecolor="#1e7997">
              <v:stroke dashstyle="solid"/>
            </v:line>
            <v:shape style="position:absolute;left:10977;top:8127;width:85;height:832" coordorigin="10977,8127" coordsize="85,832" path="m10977,8127l10977,8874,11062,8959,11062,8212,10977,8127xe" filled="true" fillcolor="#2cb4e0" stroked="false">
              <v:path arrowok="t"/>
              <v:fill type="solid"/>
            </v:shape>
            <v:line style="position:absolute" from="10977,8874" to="11062,8959" stroked="true" strokeweight=".12pt" strokecolor="#2cb4e0">
              <v:stroke dashstyle="solid"/>
            </v:line>
            <v:shape style="position:absolute;left:8783;top:8127;width:2194;height:747" type="#_x0000_t75" stroked="false">
              <v:imagedata r:id="rId69" o:title=""/>
            </v:shape>
            <v:line style="position:absolute" from="8805,11715" to="11084,11715" stroked="true" strokeweight="4.243pt" strokecolor="#1e7997">
              <v:stroke dashstyle="solid"/>
            </v:line>
            <v:line style="position:absolute" from="8805,11672" to="8890,11757" stroked="true" strokeweight=".12pt" strokecolor="#1e7997">
              <v:stroke dashstyle="solid"/>
            </v:line>
            <v:shape style="position:absolute;left:10999;top:10924;width:85;height:833" coordorigin="10999,10924" coordsize="85,833" path="m10999,10924l10999,11672,11084,11757,11084,11009,10999,10924xe" filled="true" fillcolor="#2cb4e0" stroked="false">
              <v:path arrowok="t"/>
              <v:fill type="solid"/>
            </v:shape>
            <v:line style="position:absolute" from="10999,11672" to="11084,11757" stroked="true" strokeweight=".12pt" strokecolor="#2cb4e0">
              <v:stroke dashstyle="solid"/>
            </v:line>
            <v:shape style="position:absolute;left:8805;top:10924;width:2194;height:748" type="#_x0000_t75" stroked="false">
              <v:imagedata r:id="rId70" o:title=""/>
            </v:shape>
            <v:line style="position:absolute" from="6107,930" to="6097,4311" stroked="true" strokeweight=".75pt" strokecolor="#000000">
              <v:stroke dashstyle="solid"/>
            </v:line>
            <v:line style="position:absolute" from="8617,370" to="8883,370" stroked="true" strokeweight=".75pt" strokecolor="#000000">
              <v:stroke dashstyle="solid"/>
            </v:line>
            <v:rect style="position:absolute;left:8783;top:713;width:2194;height:85" filled="true" fillcolor="#1e7997" stroked="false">
              <v:fill type="solid"/>
            </v:rect>
            <v:line style="position:absolute" from="8783,713" to="8868,798" stroked="true" strokeweight=".12pt" strokecolor="#1e7997">
              <v:stroke dashstyle="solid"/>
            </v:line>
            <v:line style="position:absolute" from="11019,-91" to="11019,798" stroked="true" strokeweight="4.243pt" strokecolor="#2cb4e0">
              <v:stroke dashstyle="solid"/>
            </v:line>
            <v:line style="position:absolute" from="10977,713" to="11062,798" stroked="true" strokeweight=".12pt" strokecolor="#2cb4e0">
              <v:stroke dashstyle="solid"/>
            </v:line>
            <v:shape style="position:absolute;left:8783;top:-91;width:2194;height:804" type="#_x0000_t75" stroked="false">
              <v:imagedata r:id="rId71" o:title=""/>
            </v:shape>
            <v:line style="position:absolute" from="8604,-137" to="8604,912" stroked="true" strokeweight=".75pt" strokecolor="#000000">
              <v:stroke dashstyle="solid"/>
            </v:line>
            <v:line style="position:absolute" from="8491,5503" to="8799,5503" stroked="true" strokeweight=".75pt" strokecolor="#000000">
              <v:stroke dashstyle="solid"/>
            </v:line>
            <v:line style="position:absolute" from="8493,4475" to="8770,4475" stroked="true" strokeweight=".75pt" strokecolor="#000000">
              <v:stroke dashstyle="solid"/>
            </v:line>
            <v:line style="position:absolute" from="6312,9795" to="8351,9795" stroked="true" strokeweight="4.243pt" strokecolor="#97975b">
              <v:stroke dashstyle="solid"/>
            </v:line>
            <v:line style="position:absolute" from="6312,9752" to="6397,9837" stroked="true" strokeweight=".12pt" strokecolor="#97975b">
              <v:stroke dashstyle="solid"/>
            </v:line>
            <v:shape style="position:absolute;left:8266;top:9066;width:85;height:771" coordorigin="8266,9066" coordsize="85,771" path="m8266,9066l8266,9752,8351,9837,8351,9151,8266,9066xe" filled="true" fillcolor="#e0e086" stroked="false">
              <v:path arrowok="t"/>
              <v:fill type="solid"/>
            </v:shape>
            <v:line style="position:absolute" from="8266,9752" to="8351,9837" stroked="true" strokeweight=".12pt" strokecolor="#e0e086">
              <v:stroke dashstyle="solid"/>
            </v:line>
            <v:shape style="position:absolute;left:6312;top:9066;width:1954;height:686" type="#_x0000_t75" stroked="false">
              <v:imagedata r:id="rId72" o:title=""/>
            </v:shape>
            <v:line style="position:absolute" from="6312,10621" to="8351,10621" stroked="true" strokeweight="4.243pt" strokecolor="#97975b">
              <v:stroke dashstyle="solid"/>
            </v:line>
            <v:line style="position:absolute" from="6312,10578" to="6397,10663" stroked="true" strokeweight=".12pt" strokecolor="#97975b">
              <v:stroke dashstyle="solid"/>
            </v:line>
            <v:line style="position:absolute" from="8209,10343" to="8777,10343" stroked="true" strokeweight=".75pt" strokecolor="#000000">
              <v:stroke dashstyle="solid"/>
            </v:line>
            <v:shape style="position:absolute;left:8266;top:10004;width:85;height:659" coordorigin="8266,10004" coordsize="85,659" path="m8266,10004l8266,10578,8351,10663,8351,10089,8266,10004xe" filled="true" fillcolor="#e0e086" stroked="false">
              <v:path arrowok="t"/>
              <v:fill type="solid"/>
            </v:shape>
            <v:line style="position:absolute" from="8266,10578" to="8351,10663" stroked="true" strokeweight=".12pt" strokecolor="#e0e086">
              <v:stroke dashstyle="solid"/>
            </v:line>
            <v:shape style="position:absolute;left:6312;top:10004;width:1954;height:574" type="#_x0000_t75" stroked="false">
              <v:imagedata r:id="rId73" o:title=""/>
            </v:shape>
            <v:line style="position:absolute" from="8782,10736" to="11061,10736" stroked="true" strokeweight="4.243pt" strokecolor="#1e7997">
              <v:stroke dashstyle="solid"/>
            </v:line>
            <v:line style="position:absolute" from="8782,10693" to="8867,10778" stroked="true" strokeweight=".12pt" strokecolor="#1e7997">
              <v:stroke dashstyle="solid"/>
            </v:line>
            <v:shape style="position:absolute;left:10976;top:9946;width:85;height:832" coordorigin="10976,9946" coordsize="85,832" path="m10976,9946l10976,10693,11061,10778,11061,10031,10976,9946xe" filled="true" fillcolor="#2cb4e0" stroked="false">
              <v:path arrowok="t"/>
              <v:fill type="solid"/>
            </v:shape>
            <v:line style="position:absolute" from="10976,10693" to="11061,10778" stroked="true" strokeweight=".12pt" strokecolor="#2cb4e0">
              <v:stroke dashstyle="solid"/>
            </v:line>
            <v:shape style="position:absolute;left:8782;top:9946;width:2194;height:747" type="#_x0000_t75" stroked="false">
              <v:imagedata r:id="rId74" o:title=""/>
            </v:shape>
            <v:line style="position:absolute" from="8234,11267" to="8802,11267" stroked="true" strokeweight=".75pt" strokecolor="#000000">
              <v:stroke dashstyle="solid"/>
            </v:line>
            <v:line style="position:absolute" from="6310,11665" to="8349,11665" stroked="true" strokeweight="4.243pt" strokecolor="#97975b">
              <v:stroke dashstyle="solid"/>
            </v:line>
            <v:line style="position:absolute" from="6310,11622" to="6395,11707" stroked="true" strokeweight=".12pt" strokecolor="#97975b">
              <v:stroke dashstyle="solid"/>
            </v:line>
            <v:shape style="position:absolute;left:8264;top:10879;width:85;height:828" coordorigin="8264,10879" coordsize="85,828" path="m8264,10879l8264,11622,8349,11707,8349,10964,8264,10879xe" filled="true" fillcolor="#e0e086" stroked="false">
              <v:path arrowok="t"/>
              <v:fill type="solid"/>
            </v:shape>
            <v:line style="position:absolute" from="8264,11622" to="8349,11707" stroked="true" strokeweight=".12pt" strokecolor="#e0e086">
              <v:stroke dashstyle="solid"/>
            </v:line>
            <v:shape style="position:absolute;left:6310;top:10879;width:1954;height:743" type="#_x0000_t75" stroked="false">
              <v:imagedata r:id="rId75" o:title=""/>
            </v:shape>
            <w10:wrap type="none"/>
          </v:group>
        </w:pict>
      </w:r>
      <w:r>
        <w:rPr/>
        <w:pict>
          <v:shape style="position:absolute;margin-left:241.250381pt;margin-top:109.270416pt;width:53.25pt;height:28.7pt;mso-position-horizontal-relative:page;mso-position-vertical-relative:paragraph;z-index:251679744" type="#_x0000_t202" filled="false" stroked="false">
            <v:textbox inset="0,0,0,0">
              <w:txbxContent>
                <w:p>
                  <w:pPr>
                    <w:spacing w:before="87"/>
                    <w:ind w:left="171" w:right="0" w:firstLine="0"/>
                    <w:jc w:val="left"/>
                    <w:rPr>
                      <w:sz w:val="24"/>
                    </w:rPr>
                  </w:pPr>
                  <w:r>
                    <w:rPr>
                      <w:sz w:val="24"/>
                    </w:rPr>
                    <w:t>合規性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17.549988pt;margin-top:80.270027pt;width:97.7pt;height:28.7pt;mso-position-horizontal-relative:page;mso-position-vertical-relative:paragraph;z-index:251680768" type="#_x0000_t202" filled="false" stroked="false">
            <v:textbox inset="0,0,0,0">
              <w:txbxContent>
                <w:p>
                  <w:pPr>
                    <w:spacing w:before="103"/>
                    <w:ind w:left="35" w:right="-15" w:firstLine="0"/>
                    <w:jc w:val="left"/>
                    <w:rPr>
                      <w:sz w:val="24"/>
                    </w:rPr>
                  </w:pPr>
                  <w:r>
                    <w:rPr>
                      <w:spacing w:val="50"/>
                      <w:sz w:val="24"/>
                    </w:rPr>
                    <w:t>核定賠償責 任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40.549988pt;margin-top:72.620033pt;width:109.7pt;height:37.35pt;mso-position-horizontal-relative:page;mso-position-vertical-relative:paragraph;z-index:251681792" type="#_x0000_t202" filled="false" stroked="false">
            <v:textbox inset="0,0,0,0">
              <w:txbxContent>
                <w:p>
                  <w:pPr>
                    <w:spacing w:line="235" w:lineRule="auto" w:before="88"/>
                    <w:ind w:left="64" w:right="87" w:firstLine="0"/>
                    <w:jc w:val="left"/>
                    <w:rPr>
                      <w:sz w:val="22"/>
                    </w:rPr>
                  </w:pPr>
                  <w:r>
                    <w:rPr>
                      <w:sz w:val="22"/>
                    </w:rPr>
                    <w:t>通知其機關長官或上級機關限期追繳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17.549988pt;margin-top:-21.779976pt;width:97.7pt;height:28.7pt;mso-position-horizontal-relative:page;mso-position-vertical-relative:paragraph;z-index:251682816" type="#_x0000_t202" filled="false" stroked="false">
            <v:textbox inset="0,0,0,0">
              <w:txbxContent>
                <w:p>
                  <w:pPr>
                    <w:tabs>
                      <w:tab w:pos="596" w:val="left" w:leader="none"/>
                      <w:tab w:pos="1100" w:val="left" w:leader="none"/>
                      <w:tab w:pos="1604" w:val="left" w:leader="none"/>
                    </w:tabs>
                    <w:spacing w:before="106"/>
                    <w:ind w:left="93" w:right="0" w:firstLine="0"/>
                    <w:jc w:val="left"/>
                    <w:rPr>
                      <w:sz w:val="24"/>
                    </w:rPr>
                  </w:pPr>
                  <w:r>
                    <w:rPr>
                      <w:sz w:val="24"/>
                    </w:rPr>
                    <w:t>審</w:t>
                    <w:tab/>
                    <w:t>定</w:t>
                    <w:tab/>
                    <w:t>決</w:t>
                    <w:tab/>
                    <w:t>算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41.250381pt;margin-top:-21.579962pt;width:53.25pt;height:28.75pt;mso-position-horizontal-relative:page;mso-position-vertical-relative:paragraph;z-index:251683840" type="#_x0000_t202" filled="false" stroked="false">
            <v:textbox inset="0,0,0,0">
              <w:txbxContent>
                <w:p>
                  <w:pPr>
                    <w:spacing w:before="88"/>
                    <w:ind w:left="171" w:right="0" w:firstLine="0"/>
                    <w:jc w:val="left"/>
                    <w:rPr>
                      <w:sz w:val="24"/>
                    </w:rPr>
                  </w:pPr>
                  <w:r>
                    <w:rPr>
                      <w:sz w:val="24"/>
                    </w:rPr>
                    <w:t>適正性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65.050385pt;margin-top:22.12044pt;width:52.15pt;height:29.2pt;mso-position-horizontal-relative:page;mso-position-vertical-relative:paragraph;z-index:251688960" type="#_x0000_t202" filled="false" stroked="false">
            <v:textbox inset="0,0,0,0">
              <w:txbxContent>
                <w:p>
                  <w:pPr>
                    <w:spacing w:before="162"/>
                    <w:ind w:left="39" w:right="0" w:firstLine="0"/>
                    <w:jc w:val="left"/>
                    <w:rPr>
                      <w:sz w:val="24"/>
                    </w:rPr>
                  </w:pPr>
                  <w:r>
                    <w:rPr>
                      <w:sz w:val="24"/>
                    </w:rPr>
                    <w:t>財務審計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87.050034pt;margin-top:4.670036pt;width:55pt;height:35.15pt;mso-position-horizontal-relative:page;mso-position-vertical-relative:paragraph;z-index:251689984" type="#_x0000_t202" filled="false" stroked="false">
            <v:textbox inset="0,0,0,0">
              <w:txbxContent>
                <w:p>
                  <w:pPr>
                    <w:tabs>
                      <w:tab w:pos="824" w:val="left" w:leader="none"/>
                    </w:tabs>
                    <w:spacing w:line="201" w:lineRule="auto" w:before="100"/>
                    <w:ind w:left="34" w:right="8" w:firstLine="0"/>
                    <w:jc w:val="left"/>
                    <w:rPr>
                      <w:sz w:val="24"/>
                    </w:rPr>
                  </w:pPr>
                  <w:r>
                    <w:rPr>
                      <w:spacing w:val="24"/>
                      <w:sz w:val="24"/>
                    </w:rPr>
                    <w:t>普通公</w:t>
                  </w:r>
                  <w:r>
                    <w:rPr>
                      <w:spacing w:val="6"/>
                      <w:sz w:val="24"/>
                    </w:rPr>
                    <w:t>務</w:t>
                  </w:r>
                  <w:r>
                    <w:rPr>
                      <w:sz w:val="24"/>
                    </w:rPr>
                    <w:t>審</w:t>
                    <w:tab/>
                    <w:t>計</w:t>
                  </w:r>
                </w:p>
              </w:txbxContent>
            </v:textbox>
            <w10:wrap type="none"/>
          </v:shape>
        </w:pict>
      </w:r>
      <w:r>
        <w:rPr>
          <w:w w:val="90"/>
          <w:sz w:val="22"/>
        </w:rPr>
        <w:t>列入決算審核報告提送</w:t>
      </w:r>
      <w:r>
        <w:rPr>
          <w:w w:val="85"/>
          <w:sz w:val="22"/>
        </w:rPr>
        <w:t>花蓮縣議會及監察院審議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0"/>
        </w:rPr>
      </w:pPr>
      <w:r>
        <w:rPr/>
        <w:pict>
          <v:shape style="position:absolute;margin-left:315.599976pt;margin-top:15.671854pt;width:97.7pt;height:34.3pt;mso-position-horizontal-relative:page;mso-position-vertical-relative:paragraph;z-index:-251654144;mso-wrap-distance-left:0;mso-wrap-distance-right:0" type="#_x0000_t202" filled="false" stroked="false">
            <v:textbox inset="0,0,0,0">
              <w:txbxContent>
                <w:p>
                  <w:pPr>
                    <w:spacing w:line="252" w:lineRule="auto" w:before="61"/>
                    <w:ind w:left="93" w:right="46" w:firstLine="0"/>
                    <w:jc w:val="left"/>
                    <w:rPr>
                      <w:sz w:val="22"/>
                    </w:rPr>
                  </w:pPr>
                  <w:r>
                    <w:rPr>
                      <w:spacing w:val="-23"/>
                      <w:sz w:val="22"/>
                    </w:rPr>
                    <w:t>發現有可提升效能或</w:t>
                  </w:r>
                  <w:r>
                    <w:rPr>
                      <w:spacing w:val="35"/>
                      <w:sz w:val="22"/>
                    </w:rPr>
                    <w:t>增進公共利益者</w:t>
                  </w:r>
                </w:p>
              </w:txbxContent>
            </v:textbox>
            <w10:wrap type="topAndBottom"/>
          </v:shape>
        </w:pict>
      </w:r>
    </w:p>
    <w:p>
      <w:pPr>
        <w:pStyle w:val="BodyText"/>
        <w:spacing w:before="12"/>
        <w:rPr>
          <w:sz w:val="14"/>
        </w:rPr>
      </w:pPr>
    </w:p>
    <w:p>
      <w:pPr>
        <w:spacing w:after="0"/>
        <w:rPr>
          <w:sz w:val="14"/>
        </w:rPr>
        <w:sectPr>
          <w:footerReference w:type="default" r:id="rId42"/>
          <w:pgSz w:w="11910" w:h="16840"/>
          <w:pgMar w:footer="0" w:header="0" w:top="1400" w:bottom="280" w:left="740" w:right="720"/>
        </w:sectPr>
      </w:pPr>
    </w:p>
    <w:p>
      <w:pPr>
        <w:spacing w:before="156"/>
        <w:ind w:left="0" w:right="0" w:firstLine="0"/>
        <w:jc w:val="right"/>
        <w:rPr>
          <w:sz w:val="22"/>
        </w:rPr>
      </w:pPr>
      <w:r>
        <w:rPr/>
        <w:pict>
          <v:shape style="position:absolute;margin-left:85.599998pt;margin-top:-9.930012pt;width:55pt;height:35.15pt;mso-position-horizontal-relative:page;mso-position-vertical-relative:paragraph;z-index:251666432" type="#_x0000_t202" filled="false" stroked="false">
            <v:textbox inset="0,0,0,0">
              <w:txbxContent>
                <w:p>
                  <w:pPr>
                    <w:spacing w:line="318" w:lineRule="exact" w:before="8"/>
                    <w:ind w:left="35" w:right="0" w:firstLine="0"/>
                    <w:jc w:val="left"/>
                    <w:rPr>
                      <w:sz w:val="24"/>
                    </w:rPr>
                  </w:pPr>
                  <w:r>
                    <w:rPr>
                      <w:spacing w:val="21"/>
                      <w:sz w:val="24"/>
                    </w:rPr>
                    <w:t>財物審計</w:t>
                  </w:r>
                </w:p>
                <w:p>
                  <w:pPr>
                    <w:spacing w:line="318" w:lineRule="exact" w:before="0"/>
                    <w:ind w:left="35" w:right="0" w:firstLine="0"/>
                    <w:jc w:val="left"/>
                    <w:rPr>
                      <w:rFonts w:ascii="Times New Roman" w:eastAsia="Times New Roman"/>
                      <w:sz w:val="24"/>
                    </w:rPr>
                  </w:pPr>
                  <w:r>
                    <w:rPr>
                      <w:rFonts w:ascii="Times New Roman" w:eastAsia="Times New Roman"/>
                      <w:sz w:val="24"/>
                    </w:rPr>
                    <w:t>(  </w:t>
                  </w:r>
                  <w:r>
                    <w:rPr>
                      <w:spacing w:val="6"/>
                      <w:sz w:val="24"/>
                    </w:rPr>
                    <w:t>稽 察 </w:t>
                  </w:r>
                  <w:r>
                    <w:rPr>
                      <w:rFonts w:ascii="Times New Roman" w:eastAsia="Times New Roman"/>
                      <w:sz w:val="24"/>
                    </w:rPr>
                    <w:t>)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15.299988pt;margin-top:-87.829613pt;width:97.7pt;height:28.7pt;mso-position-horizontal-relative:page;mso-position-vertical-relative:paragraph;z-index:251667456" type="#_x0000_t202" filled="false" stroked="false">
            <v:textbox inset="0,0,0,0">
              <w:txbxContent>
                <w:p>
                  <w:pPr>
                    <w:spacing w:before="107"/>
                    <w:ind w:left="92" w:right="0" w:firstLine="0"/>
                    <w:jc w:val="left"/>
                    <w:rPr>
                      <w:sz w:val="24"/>
                    </w:rPr>
                  </w:pPr>
                  <w:r>
                    <w:rPr>
                      <w:sz w:val="24"/>
                    </w:rPr>
                    <w:t>發現設施不 良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9.149963pt;margin-top:-92.380005pt;width:109.7pt;height:37.35pt;mso-position-horizontal-relative:page;mso-position-vertical-relative:paragraph;z-index:251668480" type="#_x0000_t202" filled="false" stroked="false">
            <v:textbox inset="0,0,0,0">
              <w:txbxContent>
                <w:p>
                  <w:pPr>
                    <w:tabs>
                      <w:tab w:pos="533" w:val="left" w:leader="none"/>
                      <w:tab w:pos="1001" w:val="left" w:leader="none"/>
                      <w:tab w:pos="1469" w:val="left" w:leader="none"/>
                      <w:tab w:pos="1940" w:val="left" w:leader="none"/>
                    </w:tabs>
                    <w:spacing w:line="235" w:lineRule="auto" w:before="90"/>
                    <w:ind w:left="65" w:right="31" w:firstLine="0"/>
                    <w:jc w:val="left"/>
                    <w:rPr>
                      <w:sz w:val="22"/>
                    </w:rPr>
                  </w:pPr>
                  <w:r>
                    <w:rPr>
                      <w:spacing w:val="57"/>
                      <w:sz w:val="22"/>
                    </w:rPr>
                    <w:t>提建</w:t>
                  </w:r>
                  <w:r>
                    <w:rPr>
                      <w:sz w:val="22"/>
                    </w:rPr>
                    <w:t>議</w:t>
                  </w:r>
                  <w:r>
                    <w:rPr>
                      <w:spacing w:val="-52"/>
                      <w:sz w:val="22"/>
                    </w:rPr>
                    <w:t> </w:t>
                  </w:r>
                  <w:r>
                    <w:rPr>
                      <w:rFonts w:ascii="Times New Roman" w:eastAsia="Times New Roman"/>
                      <w:sz w:val="22"/>
                    </w:rPr>
                    <w:t>(</w:t>
                  </w:r>
                  <w:r>
                    <w:rPr>
                      <w:rFonts w:ascii="Times New Roman" w:eastAsia="Times New Roman"/>
                      <w:spacing w:val="-25"/>
                      <w:sz w:val="22"/>
                    </w:rPr>
                    <w:t> </w:t>
                  </w:r>
                  <w:r>
                    <w:rPr>
                      <w:spacing w:val="57"/>
                      <w:sz w:val="22"/>
                    </w:rPr>
                    <w:t>改</w:t>
                  </w:r>
                  <w:r>
                    <w:rPr>
                      <w:sz w:val="22"/>
                    </w:rPr>
                    <w:t>善</w:t>
                  </w:r>
                  <w:r>
                    <w:rPr>
                      <w:spacing w:val="-54"/>
                      <w:sz w:val="22"/>
                    </w:rPr>
                    <w:t> </w:t>
                  </w:r>
                  <w:r>
                    <w:rPr>
                      <w:rFonts w:ascii="Times New Roman" w:eastAsia="Times New Roman"/>
                      <w:sz w:val="22"/>
                    </w:rPr>
                    <w:t>)</w:t>
                  </w:r>
                  <w:r>
                    <w:rPr>
                      <w:rFonts w:ascii="Times New Roman" w:eastAsia="Times New Roman"/>
                      <w:spacing w:val="-25"/>
                      <w:sz w:val="22"/>
                    </w:rPr>
                    <w:t> </w:t>
                  </w:r>
                  <w:r>
                    <w:rPr>
                      <w:sz w:val="22"/>
                    </w:rPr>
                    <w:t>意</w:t>
                  </w:r>
                  <w:r>
                    <w:rPr>
                      <w:spacing w:val="-54"/>
                      <w:sz w:val="22"/>
                    </w:rPr>
                    <w:t> </w:t>
                  </w:r>
                  <w:r>
                    <w:rPr>
                      <w:spacing w:val="-11"/>
                      <w:sz w:val="22"/>
                    </w:rPr>
                    <w:t>見</w:t>
                  </w:r>
                  <w:r>
                    <w:rPr>
                      <w:sz w:val="22"/>
                    </w:rPr>
                    <w:t>於</w:t>
                    <w:tab/>
                    <w:t>各</w:t>
                    <w:tab/>
                    <w:t>該</w:t>
                    <w:tab/>
                    <w:t>機</w:t>
                    <w:tab/>
                  </w:r>
                  <w:r>
                    <w:rPr>
                      <w:spacing w:val="-18"/>
                      <w:sz w:val="22"/>
                    </w:rPr>
                    <w:t>關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38.649979pt;margin-top:-110.130005pt;width:53.25pt;height:28.7pt;mso-position-horizontal-relative:page;mso-position-vertical-relative:paragraph;z-index:251669504" type="#_x0000_t202" filled="false" stroked="false">
            <v:textbox inset="0,0,0,0">
              <w:txbxContent>
                <w:p>
                  <w:pPr>
                    <w:spacing w:before="90"/>
                    <w:ind w:left="173" w:right="0" w:firstLine="0"/>
                    <w:jc w:val="left"/>
                    <w:rPr>
                      <w:sz w:val="24"/>
                    </w:rPr>
                  </w:pPr>
                  <w:r>
                    <w:rPr>
                      <w:sz w:val="24"/>
                    </w:rPr>
                    <w:t>效能性</w:t>
                  </w:r>
                </w:p>
              </w:txbxContent>
            </v:textbox>
            <w10:wrap type="none"/>
          </v:shape>
        </w:pict>
      </w:r>
      <w:r>
        <w:rPr>
          <w:sz w:val="22"/>
        </w:rPr>
        <w:t>發現潛在風險事項</w:t>
      </w:r>
    </w:p>
    <w:p>
      <w:pPr>
        <w:tabs>
          <w:tab w:pos="1063" w:val="left" w:leader="none"/>
          <w:tab w:pos="1531" w:val="left" w:leader="none"/>
          <w:tab w:pos="1999" w:val="left" w:leader="none"/>
          <w:tab w:pos="2469" w:val="left" w:leader="none"/>
        </w:tabs>
        <w:spacing w:line="235" w:lineRule="auto" w:before="62"/>
        <w:ind w:left="595" w:right="228" w:firstLine="0"/>
        <w:jc w:val="left"/>
        <w:rPr>
          <w:sz w:val="22"/>
        </w:rPr>
      </w:pPr>
      <w:r>
        <w:rPr/>
        <w:br w:type="column"/>
      </w:r>
      <w:r>
        <w:rPr>
          <w:spacing w:val="91"/>
          <w:sz w:val="22"/>
        </w:rPr>
        <w:t>提</w:t>
      </w:r>
      <w:r>
        <w:rPr>
          <w:sz w:val="22"/>
        </w:rPr>
        <w:t>出</w:t>
      </w:r>
      <w:r>
        <w:rPr>
          <w:spacing w:val="-18"/>
          <w:sz w:val="22"/>
        </w:rPr>
        <w:t> </w:t>
      </w:r>
      <w:r>
        <w:rPr>
          <w:spacing w:val="91"/>
          <w:sz w:val="22"/>
        </w:rPr>
        <w:t>預警</w:t>
      </w:r>
      <w:r>
        <w:rPr>
          <w:sz w:val="22"/>
        </w:rPr>
        <w:t>性</w:t>
      </w:r>
      <w:r>
        <w:rPr>
          <w:spacing w:val="-17"/>
          <w:sz w:val="22"/>
        </w:rPr>
        <w:t> </w:t>
      </w:r>
      <w:r>
        <w:rPr>
          <w:sz w:val="22"/>
        </w:rPr>
        <w:t>意</w:t>
      </w:r>
      <w:r>
        <w:rPr>
          <w:spacing w:val="-17"/>
          <w:sz w:val="22"/>
        </w:rPr>
        <w:t> </w:t>
      </w:r>
      <w:r>
        <w:rPr>
          <w:spacing w:val="-14"/>
          <w:sz w:val="22"/>
        </w:rPr>
        <w:t>見</w:t>
      </w:r>
      <w:r>
        <w:rPr>
          <w:sz w:val="22"/>
        </w:rPr>
        <w:t>於</w:t>
        <w:tab/>
        <w:t>各</w:t>
        <w:tab/>
        <w:t>該</w:t>
        <w:tab/>
        <w:t>機</w:t>
        <w:tab/>
      </w:r>
      <w:r>
        <w:rPr>
          <w:spacing w:val="-17"/>
          <w:sz w:val="22"/>
        </w:rPr>
        <w:t>關</w:t>
      </w:r>
    </w:p>
    <w:p>
      <w:pPr>
        <w:spacing w:after="0" w:line="235" w:lineRule="auto"/>
        <w:jc w:val="left"/>
        <w:rPr>
          <w:sz w:val="22"/>
        </w:rPr>
        <w:sectPr>
          <w:type w:val="continuous"/>
          <w:pgSz w:w="11910" w:h="16840"/>
          <w:pgMar w:top="1580" w:bottom="280" w:left="740" w:right="720"/>
          <w:cols w:num="2" w:equalWidth="0">
            <w:col w:w="7486" w:space="40"/>
            <w:col w:w="2924"/>
          </w:cols>
        </w:sectPr>
      </w:pPr>
    </w:p>
    <w:p>
      <w:pPr>
        <w:pStyle w:val="BodyText"/>
        <w:spacing w:before="10"/>
        <w:rPr>
          <w:sz w:val="18"/>
        </w:rPr>
      </w:pPr>
      <w:r>
        <w:rPr/>
        <w:pict>
          <v:shape style="position:absolute;margin-left:315.650360pt;margin-top:543.149963pt;width:97.7pt;height:28.75pt;mso-position-horizontal-relative:page;mso-position-vertical-relative:page;z-index:251670528" type="#_x0000_t202" filled="false" stroked="false">
            <v:textbox inset="0,0,0,0">
              <w:txbxContent>
                <w:p>
                  <w:pPr>
                    <w:spacing w:before="107"/>
                    <w:ind w:left="75" w:right="0" w:firstLine="0"/>
                    <w:jc w:val="left"/>
                    <w:rPr>
                      <w:sz w:val="24"/>
                    </w:rPr>
                  </w:pPr>
                  <w:r>
                    <w:rPr>
                      <w:w w:val="95"/>
                      <w:sz w:val="24"/>
                    </w:rPr>
                    <w:t>發現制度規章缺失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16.349976pt;margin-top:500.849976pt;width:97.7pt;height:28.7pt;mso-position-horizontal-relative:page;mso-position-vertical-relative:page;z-index:251671552" type="#_x0000_t202" filled="false" stroked="false">
            <v:textbox inset="0,0,0,0">
              <w:txbxContent>
                <w:p>
                  <w:pPr>
                    <w:spacing w:before="103"/>
                    <w:ind w:left="93" w:right="0" w:firstLine="0"/>
                    <w:jc w:val="left"/>
                    <w:rPr>
                      <w:sz w:val="24"/>
                    </w:rPr>
                  </w:pPr>
                  <w:r>
                    <w:rPr>
                      <w:sz w:val="24"/>
                    </w:rPr>
                    <w:t>發現效能過 低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9.149963pt;margin-top:480.050385pt;width:109.7pt;height:37.3pt;mso-position-horizontal-relative:page;mso-position-vertical-relative:page;z-index:251672576" type="#_x0000_t202" filled="false" stroked="false">
            <v:textbox inset="0,0,0,0">
              <w:txbxContent>
                <w:p>
                  <w:pPr>
                    <w:spacing w:line="235" w:lineRule="auto" w:before="90"/>
                    <w:ind w:left="65" w:right="59" w:firstLine="0"/>
                    <w:jc w:val="left"/>
                    <w:rPr>
                      <w:sz w:val="22"/>
                    </w:rPr>
                  </w:pPr>
                  <w:r>
                    <w:rPr>
                      <w:sz w:val="22"/>
                    </w:rPr>
                    <w:t>通知其上級機關長官並 報 告 監 察 院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16.349976pt;margin-top:458.799988pt;width:97.7pt;height:28.7pt;mso-position-horizontal-relative:page;mso-position-vertical-relative:page;z-index:251673600" type="#_x0000_t202" filled="false" stroked="false">
            <v:textbox inset="0,0,0,0">
              <w:txbxContent>
                <w:p>
                  <w:pPr>
                    <w:spacing w:before="107"/>
                    <w:ind w:left="93" w:right="0" w:firstLine="0"/>
                    <w:jc w:val="left"/>
                    <w:rPr>
                      <w:sz w:val="24"/>
                    </w:rPr>
                  </w:pPr>
                  <w:r>
                    <w:rPr>
                      <w:sz w:val="24"/>
                    </w:rPr>
                    <w:t>發現未盡職 責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9.149963pt;margin-top:429.149994pt;width:109.7pt;height:37.35pt;mso-position-horizontal-relative:page;mso-position-vertical-relative:page;z-index:251674624" type="#_x0000_t202" filled="false" stroked="false">
            <v:textbox inset="0,0,0,0">
              <w:txbxContent>
                <w:p>
                  <w:pPr>
                    <w:spacing w:line="232" w:lineRule="auto" w:before="90"/>
                    <w:ind w:left="113" w:right="58" w:firstLine="0"/>
                    <w:jc w:val="left"/>
                    <w:rPr>
                      <w:sz w:val="22"/>
                    </w:rPr>
                  </w:pPr>
                  <w:r>
                    <w:rPr>
                      <w:sz w:val="22"/>
                    </w:rPr>
                    <w:t>情節重大者專 案報請監察院處 理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9.149963pt;margin-top:377.799988pt;width:109.7pt;height:37.3pt;mso-position-horizontal-relative:page;mso-position-vertical-relative:page;z-index:251675648" type="#_x0000_t202" filled="false" stroked="false">
            <v:textbox inset="0,0,0,0">
              <w:txbxContent>
                <w:p>
                  <w:pPr>
                    <w:spacing w:line="232" w:lineRule="auto" w:before="90"/>
                    <w:ind w:left="65" w:right="37" w:firstLine="0"/>
                    <w:jc w:val="left"/>
                    <w:rPr>
                      <w:sz w:val="22"/>
                    </w:rPr>
                  </w:pPr>
                  <w:r>
                    <w:rPr>
                      <w:sz w:val="22"/>
                    </w:rPr>
                    <w:t>通知各該機關長官或其上級機關處分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17.199982pt;margin-top:367.5pt;width:97.7pt;height:37.4pt;mso-position-horizontal-relative:page;mso-position-vertical-relative:page;z-index:251676672" type="#_x0000_t202" filled="false" stroked="false">
            <v:textbox inset="0,0,0,0">
              <w:txbxContent>
                <w:p>
                  <w:pPr>
                    <w:tabs>
                      <w:tab w:pos="596" w:val="left" w:leader="none"/>
                      <w:tab w:pos="1100" w:val="left" w:leader="none"/>
                      <w:tab w:pos="1604" w:val="left" w:leader="none"/>
                    </w:tabs>
                    <w:spacing w:line="225" w:lineRule="auto" w:before="68"/>
                    <w:ind w:left="92" w:right="44" w:firstLine="0"/>
                    <w:jc w:val="left"/>
                    <w:rPr>
                      <w:sz w:val="24"/>
                    </w:rPr>
                  </w:pPr>
                  <w:r>
                    <w:rPr>
                      <w:w w:val="95"/>
                      <w:sz w:val="24"/>
                    </w:rPr>
                    <w:t>揭發財務</w:t>
                  </w:r>
                  <w:r>
                    <w:rPr>
                      <w:rFonts w:ascii="Times New Roman" w:eastAsia="Times New Roman"/>
                      <w:w w:val="95"/>
                      <w:sz w:val="24"/>
                    </w:rPr>
                    <w:t>(</w:t>
                  </w:r>
                  <w:r>
                    <w:rPr>
                      <w:w w:val="95"/>
                      <w:sz w:val="24"/>
                    </w:rPr>
                    <w:t>物</w:t>
                  </w:r>
                  <w:r>
                    <w:rPr>
                      <w:rFonts w:ascii="Times New Roman" w:eastAsia="Times New Roman"/>
                      <w:w w:val="95"/>
                      <w:sz w:val="24"/>
                    </w:rPr>
                    <w:t>)</w:t>
                  </w:r>
                  <w:r>
                    <w:rPr>
                      <w:w w:val="95"/>
                      <w:sz w:val="24"/>
                    </w:rPr>
                    <w:t>上</w:t>
                  </w:r>
                  <w:r>
                    <w:rPr>
                      <w:spacing w:val="-15"/>
                      <w:w w:val="95"/>
                      <w:sz w:val="24"/>
                    </w:rPr>
                    <w:t>之</w:t>
                  </w:r>
                  <w:r>
                    <w:rPr>
                      <w:sz w:val="24"/>
                    </w:rPr>
                    <w:t>違</w:t>
                    <w:tab/>
                    <w:t>失</w:t>
                    <w:tab/>
                    <w:t>行</w:t>
                    <w:tab/>
                    <w:t>為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16.700378pt;margin-top:307pt;width:97.7pt;height:37.4pt;mso-position-horizontal-relative:page;mso-position-vertical-relative:page;z-index:251677696" type="#_x0000_t202" filled="false" stroked="false">
            <v:textbox inset="0,0,0,0">
              <w:txbxContent>
                <w:p>
                  <w:pPr>
                    <w:spacing w:line="228" w:lineRule="auto" w:before="64"/>
                    <w:ind w:left="18" w:right="10" w:hanging="10"/>
                    <w:jc w:val="left"/>
                    <w:rPr>
                      <w:sz w:val="24"/>
                    </w:rPr>
                  </w:pPr>
                  <w:r>
                    <w:rPr>
                      <w:w w:val="90"/>
                      <w:sz w:val="24"/>
                    </w:rPr>
                    <w:t>揭發財務</w:t>
                  </w:r>
                  <w:r>
                    <w:rPr>
                      <w:rFonts w:ascii="Times New Roman" w:eastAsia="Times New Roman"/>
                      <w:w w:val="90"/>
                      <w:sz w:val="24"/>
                    </w:rPr>
                    <w:t>(</w:t>
                  </w:r>
                  <w:r>
                    <w:rPr>
                      <w:w w:val="90"/>
                      <w:sz w:val="24"/>
                    </w:rPr>
                    <w:t>物</w:t>
                  </w:r>
                  <w:r>
                    <w:rPr>
                      <w:rFonts w:ascii="Times New Roman" w:eastAsia="Times New Roman"/>
                      <w:w w:val="90"/>
                      <w:sz w:val="24"/>
                    </w:rPr>
                    <w:t>)</w:t>
                  </w:r>
                  <w:r>
                    <w:rPr>
                      <w:w w:val="90"/>
                      <w:sz w:val="24"/>
                    </w:rPr>
                    <w:t>上違失</w:t>
                  </w:r>
                  <w:r>
                    <w:rPr>
                      <w:sz w:val="24"/>
                    </w:rPr>
                    <w:t>行為涉及刑事者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40.90036pt;margin-top:305.25pt;width:109.7pt;height:37.3pt;mso-position-horizontal-relative:page;mso-position-vertical-relative:page;z-index:251678720" type="#_x0000_t202" filled="false" stroked="false">
            <v:textbox inset="0,0,0,0">
              <w:txbxContent>
                <w:p>
                  <w:pPr>
                    <w:spacing w:line="235" w:lineRule="auto" w:before="89"/>
                    <w:ind w:left="64" w:right="132" w:firstLine="0"/>
                    <w:jc w:val="left"/>
                    <w:rPr>
                      <w:sz w:val="22"/>
                    </w:rPr>
                  </w:pPr>
                  <w:r>
                    <w:rPr>
                      <w:sz w:val="22"/>
                    </w:rPr>
                    <w:t>移送檢調機關處理並 報 告 監 察 院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64.499985pt;margin-top:522.299988pt;width:52.15pt;height:29.2pt;mso-position-horizontal-relative:page;mso-position-vertical-relative:page;z-index:251684864" type="#_x0000_t202" filled="false" stroked="false">
            <v:textbox inset="0,0,0,0">
              <w:txbxContent>
                <w:p>
                  <w:pPr>
                    <w:spacing w:before="159"/>
                    <w:ind w:left="41" w:right="0" w:firstLine="0"/>
                    <w:jc w:val="left"/>
                    <w:rPr>
                      <w:sz w:val="24"/>
                    </w:rPr>
                  </w:pPr>
                  <w:r>
                    <w:rPr>
                      <w:sz w:val="24"/>
                    </w:rPr>
                    <w:t>績效審計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87.449997pt;margin-top:499.299988pt;width:55pt;height:35.15pt;mso-position-horizontal-relative:page;mso-position-vertical-relative:page;z-index:251685888" type="#_x0000_t202" filled="false" stroked="false">
            <v:textbox inset="0,0,0,0">
              <w:txbxContent>
                <w:p>
                  <w:pPr>
                    <w:tabs>
                      <w:tab w:pos="886" w:val="left" w:leader="none"/>
                    </w:tabs>
                    <w:spacing w:line="213" w:lineRule="auto" w:before="51"/>
                    <w:ind w:left="36" w:right="-29" w:firstLine="0"/>
                    <w:jc w:val="left"/>
                    <w:rPr>
                      <w:sz w:val="24"/>
                    </w:rPr>
                  </w:pPr>
                  <w:r>
                    <w:rPr>
                      <w:spacing w:val="-56"/>
                      <w:sz w:val="24"/>
                    </w:rPr>
                    <w:t>公有營</w:t>
                  </w:r>
                  <w:r>
                    <w:rPr>
                      <w:rFonts w:ascii="Times New Roman" w:eastAsia="Times New Roman"/>
                      <w:spacing w:val="-25"/>
                      <w:sz w:val="24"/>
                    </w:rPr>
                    <w:t>(</w:t>
                  </w:r>
                  <w:r>
                    <w:rPr>
                      <w:spacing w:val="-56"/>
                      <w:sz w:val="24"/>
                    </w:rPr>
                    <w:t>事</w:t>
                  </w:r>
                  <w:r>
                    <w:rPr>
                      <w:rFonts w:ascii="Times New Roman" w:eastAsia="Times New Roman"/>
                      <w:spacing w:val="-25"/>
                      <w:sz w:val="24"/>
                    </w:rPr>
                    <w:t>)</w:t>
                  </w:r>
                  <w:r>
                    <w:rPr>
                      <w:spacing w:val="-13"/>
                      <w:sz w:val="24"/>
                    </w:rPr>
                    <w:t>業</w:t>
                  </w:r>
                  <w:r>
                    <w:rPr>
                      <w:sz w:val="24"/>
                    </w:rPr>
                    <w:t>審</w:t>
                    <w:tab/>
                  </w:r>
                  <w:r>
                    <w:rPr>
                      <w:spacing w:val="-17"/>
                      <w:sz w:val="24"/>
                    </w:rPr>
                    <w:t>計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65.099991pt;margin-top:361.400391pt;width:52.15pt;height:29.2pt;mso-position-horizontal-relative:page;mso-position-vertical-relative:page;z-index:251686912" type="#_x0000_t202" filled="false" stroked="false">
            <v:textbox inset="0,0,0,0">
              <w:txbxContent>
                <w:p>
                  <w:pPr>
                    <w:spacing w:before="159"/>
                    <w:ind w:left="41" w:right="0" w:firstLine="0"/>
                    <w:jc w:val="left"/>
                    <w:rPr>
                      <w:sz w:val="24"/>
                    </w:rPr>
                  </w:pPr>
                  <w:r>
                    <w:rPr>
                      <w:sz w:val="24"/>
                    </w:rPr>
                    <w:t>遵循審計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87.449997pt;margin-top:333.800385pt;width:55pt;height:35.15pt;mso-position-horizontal-relative:page;mso-position-vertical-relative:page;z-index:251687936" type="#_x0000_t202" filled="false" stroked="false">
            <v:textbox inset="0,0,0,0">
              <w:txbxContent>
                <w:p>
                  <w:pPr>
                    <w:tabs>
                      <w:tab w:pos="826" w:val="left" w:leader="none"/>
                    </w:tabs>
                    <w:spacing w:line="201" w:lineRule="auto" w:before="101"/>
                    <w:ind w:left="36" w:right="5" w:firstLine="0"/>
                    <w:jc w:val="left"/>
                    <w:rPr>
                      <w:sz w:val="24"/>
                    </w:rPr>
                  </w:pPr>
                  <w:r>
                    <w:rPr>
                      <w:spacing w:val="24"/>
                      <w:sz w:val="24"/>
                    </w:rPr>
                    <w:t>特種公</w:t>
                  </w:r>
                  <w:r>
                    <w:rPr>
                      <w:spacing w:val="7"/>
                      <w:sz w:val="24"/>
                    </w:rPr>
                    <w:t>務</w:t>
                  </w:r>
                  <w:r>
                    <w:rPr>
                      <w:sz w:val="24"/>
                    </w:rPr>
                    <w:t>審</w:t>
                    <w:tab/>
                    <w:t>計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4.639999pt;margin-top:402.559998pt;width:16.05pt;height:92pt;mso-position-horizontal-relative:page;mso-position-vertical-relative:page;z-index:-252438528" type="#_x0000_t202" filled="false" stroked="false">
            <v:textbox inset="0,0,0,0" style="layout-flow:vertical-ideographic">
              <w:txbxContent>
                <w:p>
                  <w:pPr>
                    <w:pStyle w:val="BodyText"/>
                    <w:tabs>
                      <w:tab w:pos="526" w:val="left" w:leader="none"/>
                      <w:tab w:pos="1032" w:val="left" w:leader="none"/>
                      <w:tab w:pos="1539" w:val="left" w:leader="none"/>
                    </w:tabs>
                    <w:spacing w:line="168" w:lineRule="auto"/>
                    <w:ind w:left="20"/>
                  </w:pPr>
                  <w:r>
                    <w:rPr>
                      <w:w w:val="100"/>
                    </w:rPr>
                    <w:t>政</w:t>
                  </w:r>
                  <w:r>
                    <w:rPr/>
                    <w:tab/>
                  </w:r>
                  <w:r>
                    <w:rPr>
                      <w:w w:val="100"/>
                    </w:rPr>
                    <w:t>府</w:t>
                  </w:r>
                  <w:r>
                    <w:rPr/>
                    <w:tab/>
                  </w:r>
                  <w:r>
                    <w:rPr>
                      <w:w w:val="100"/>
                    </w:rPr>
                    <w:t>審</w:t>
                  </w:r>
                  <w:r>
                    <w:rPr/>
                    <w:tab/>
                  </w:r>
                  <w:r>
                    <w:rPr>
                      <w:w w:val="100"/>
                    </w:rPr>
                    <w:t>計</w:t>
                  </w:r>
                </w:p>
              </w:txbxContent>
            </v:textbox>
            <w10:wrap type="none"/>
          </v:shape>
        </w:pict>
      </w:r>
    </w:p>
    <w:p>
      <w:pPr>
        <w:tabs>
          <w:tab w:pos="8065" w:val="left" w:leader="none"/>
        </w:tabs>
        <w:spacing w:line="240" w:lineRule="auto"/>
        <w:ind w:left="5570" w:right="0" w:firstLine="0"/>
        <w:rPr>
          <w:sz w:val="20"/>
        </w:rPr>
      </w:pPr>
      <w:r>
        <w:rPr>
          <w:position w:val="7"/>
          <w:sz w:val="20"/>
        </w:rPr>
        <w:pict>
          <v:shape style="width:97.7pt;height:36.25pt;mso-position-horizontal-relative:char;mso-position-vertical-relative:line" type="#_x0000_t202" filled="false" stroked="false">
            <w10:anchorlock/>
            <v:textbox inset="0,0,0,0">
              <w:txbxContent>
                <w:p>
                  <w:pPr>
                    <w:spacing w:line="249" w:lineRule="auto" w:before="40"/>
                    <w:ind w:left="93" w:right="46" w:firstLine="0"/>
                    <w:jc w:val="left"/>
                    <w:rPr>
                      <w:sz w:val="22"/>
                    </w:rPr>
                  </w:pPr>
                  <w:r>
                    <w:rPr>
                      <w:sz w:val="22"/>
                    </w:rPr>
                    <w:t>財務上增進效能與</w:t>
                  </w:r>
                  <w:r>
                    <w:rPr>
                      <w:spacing w:val="-23"/>
                      <w:sz w:val="22"/>
                    </w:rPr>
                    <w:t>減少不經濟支出建議</w:t>
                  </w:r>
                </w:p>
              </w:txbxContent>
            </v:textbox>
          </v:shape>
        </w:pict>
      </w:r>
      <w:r>
        <w:rPr>
          <w:position w:val="7"/>
          <w:sz w:val="20"/>
        </w:rPr>
      </w:r>
      <w:r>
        <w:rPr>
          <w:position w:val="7"/>
          <w:sz w:val="20"/>
        </w:rPr>
        <w:tab/>
      </w:r>
      <w:r>
        <w:rPr>
          <w:sz w:val="20"/>
        </w:rPr>
        <w:pict>
          <v:shape style="width:109.7pt;height:39.5pt;mso-position-horizontal-relative:char;mso-position-vertical-relative:line" type="#_x0000_t202" filled="false" stroked="false">
            <w10:anchorlock/>
            <v:textbox inset="0,0,0,0">
              <w:txbxContent>
                <w:p>
                  <w:pPr>
                    <w:spacing w:line="252" w:lineRule="auto" w:before="66"/>
                    <w:ind w:left="65" w:right="9" w:firstLine="0"/>
                    <w:jc w:val="left"/>
                    <w:rPr>
                      <w:sz w:val="22"/>
                    </w:rPr>
                  </w:pPr>
                  <w:r>
                    <w:rPr>
                      <w:spacing w:val="29"/>
                      <w:w w:val="90"/>
                      <w:sz w:val="22"/>
                    </w:rPr>
                    <w:t>提供花蓮縣政府作為</w:t>
                  </w:r>
                  <w:r>
                    <w:rPr>
                      <w:spacing w:val="-17"/>
                      <w:w w:val="90"/>
                      <w:sz w:val="22"/>
                    </w:rPr>
                    <w:t>決定下年度施政方針參考</w:t>
                  </w:r>
                </w:p>
              </w:txbxContent>
            </v:textbox>
          </v:shape>
        </w:pict>
      </w:r>
      <w:r>
        <w:rPr>
          <w:sz w:val="20"/>
        </w:rPr>
      </w:r>
    </w:p>
    <w:p>
      <w:pPr>
        <w:spacing w:after="0" w:line="240" w:lineRule="auto"/>
        <w:rPr>
          <w:sz w:val="20"/>
        </w:rPr>
        <w:sectPr>
          <w:type w:val="continuous"/>
          <w:pgSz w:w="11910" w:h="16840"/>
          <w:pgMar w:top="1580" w:bottom="280" w:left="740" w:right="720"/>
        </w:sectPr>
      </w:pPr>
    </w:p>
    <w:p>
      <w:pPr>
        <w:spacing w:before="9"/>
        <w:ind w:left="1011" w:right="1031" w:firstLine="0"/>
        <w:jc w:val="center"/>
        <w:rPr>
          <w:sz w:val="36"/>
        </w:rPr>
      </w:pPr>
      <w:bookmarkStart w:name="中華民國109年度花蓮縣總決算審核報告目錄" w:id="7"/>
      <w:bookmarkEnd w:id="7"/>
      <w:r>
        <w:rPr/>
      </w:r>
      <w:r>
        <w:rPr>
          <w:sz w:val="36"/>
        </w:rPr>
        <w:t>中華民國 109 年度</w:t>
      </w:r>
    </w:p>
    <w:p>
      <w:pPr>
        <w:tabs>
          <w:tab w:pos="2917" w:val="left" w:leader="none"/>
        </w:tabs>
        <w:spacing w:line="280" w:lineRule="auto" w:before="55"/>
        <w:ind w:left="1014" w:right="1031" w:firstLine="0"/>
        <w:jc w:val="center"/>
        <w:rPr>
          <w:b/>
          <w:sz w:val="36"/>
        </w:rPr>
      </w:pPr>
      <w:r>
        <w:rPr>
          <w:spacing w:val="38"/>
          <w:sz w:val="36"/>
        </w:rPr>
        <w:t>花</w:t>
      </w:r>
      <w:r>
        <w:rPr>
          <w:spacing w:val="40"/>
          <w:sz w:val="36"/>
        </w:rPr>
        <w:t>蓮縣</w:t>
      </w:r>
      <w:r>
        <w:rPr>
          <w:spacing w:val="38"/>
          <w:sz w:val="36"/>
        </w:rPr>
        <w:t>總</w:t>
      </w:r>
      <w:r>
        <w:rPr>
          <w:spacing w:val="40"/>
          <w:sz w:val="36"/>
        </w:rPr>
        <w:t>決算</w:t>
      </w:r>
      <w:r>
        <w:rPr>
          <w:spacing w:val="38"/>
          <w:sz w:val="36"/>
        </w:rPr>
        <w:t>暨</w:t>
      </w:r>
      <w:r>
        <w:rPr>
          <w:spacing w:val="40"/>
          <w:sz w:val="36"/>
        </w:rPr>
        <w:t>附屬</w:t>
      </w:r>
      <w:r>
        <w:rPr>
          <w:spacing w:val="38"/>
          <w:sz w:val="36"/>
        </w:rPr>
        <w:t>單</w:t>
      </w:r>
      <w:r>
        <w:rPr>
          <w:spacing w:val="40"/>
          <w:sz w:val="36"/>
        </w:rPr>
        <w:t>位決</w:t>
      </w:r>
      <w:r>
        <w:rPr>
          <w:spacing w:val="38"/>
          <w:sz w:val="36"/>
        </w:rPr>
        <w:t>算</w:t>
      </w:r>
      <w:r>
        <w:rPr>
          <w:spacing w:val="40"/>
          <w:sz w:val="36"/>
        </w:rPr>
        <w:t>及綜</w:t>
      </w:r>
      <w:r>
        <w:rPr>
          <w:spacing w:val="38"/>
          <w:sz w:val="36"/>
        </w:rPr>
        <w:t>計</w:t>
      </w:r>
      <w:r>
        <w:rPr>
          <w:spacing w:val="40"/>
          <w:sz w:val="36"/>
        </w:rPr>
        <w:t>表審</w:t>
      </w:r>
      <w:r>
        <w:rPr>
          <w:spacing w:val="38"/>
          <w:sz w:val="36"/>
        </w:rPr>
        <w:t>核</w:t>
      </w:r>
      <w:r>
        <w:rPr>
          <w:spacing w:val="40"/>
          <w:sz w:val="36"/>
        </w:rPr>
        <w:t>報告</w:t>
      </w:r>
      <w:r>
        <w:rPr>
          <w:b/>
          <w:sz w:val="36"/>
        </w:rPr>
        <w:t>目</w:t>
        <w:tab/>
        <w:t>錄</w:t>
      </w:r>
    </w:p>
    <w:p>
      <w:pPr>
        <w:pStyle w:val="Heading2"/>
        <w:spacing w:line="421" w:lineRule="exact"/>
        <w:jc w:val="both"/>
      </w:pPr>
      <w:r>
        <w:rPr/>
        <w:t>前 言</w:t>
      </w:r>
    </w:p>
    <w:p>
      <w:pPr>
        <w:spacing w:before="54"/>
        <w:ind w:left="253" w:right="0" w:firstLine="0"/>
        <w:jc w:val="both"/>
        <w:rPr>
          <w:b/>
          <w:sz w:val="32"/>
        </w:rPr>
      </w:pPr>
      <w:r>
        <w:rPr>
          <w:b/>
          <w:sz w:val="32"/>
        </w:rPr>
        <w:t>甲、總 述</w:t>
      </w:r>
    </w:p>
    <w:p>
      <w:pPr>
        <w:pStyle w:val="BodyText"/>
        <w:tabs>
          <w:tab w:pos="9603" w:val="left" w:leader="middleDot"/>
        </w:tabs>
        <w:spacing w:before="91"/>
        <w:ind w:left="575"/>
        <w:jc w:val="both"/>
      </w:pPr>
      <w:r>
        <w:rPr/>
        <w:t>壹、</w:t>
      </w:r>
      <w:r>
        <w:rPr>
          <w:spacing w:val="-3"/>
        </w:rPr>
        <w:t>總</w:t>
      </w:r>
      <w:r>
        <w:rPr/>
        <w:t>預算</w:t>
      </w:r>
      <w:r>
        <w:rPr>
          <w:spacing w:val="-3"/>
        </w:rPr>
        <w:t>執行</w:t>
      </w:r>
      <w:r>
        <w:rPr/>
        <w:t>之審核</w:t>
        <w:tab/>
        <w:t>甲-</w:t>
      </w:r>
      <w:r>
        <w:rPr>
          <w:spacing w:val="1"/>
        </w:rPr>
        <w:t> </w:t>
      </w:r>
      <w:r>
        <w:rPr/>
        <w:t>1</w:t>
      </w:r>
    </w:p>
    <w:p>
      <w:pPr>
        <w:pStyle w:val="BodyText"/>
        <w:spacing w:line="307" w:lineRule="auto" w:before="108"/>
        <w:ind w:left="534" w:right="136"/>
        <w:jc w:val="both"/>
      </w:pPr>
      <w:r>
        <w:rPr/>
        <w:t>貳、施政計畫實施之考核··········································</w:t>
      </w:r>
      <w:r>
        <w:rPr>
          <w:spacing w:val="23"/>
        </w:rPr>
        <w:t>甲- </w:t>
      </w:r>
      <w:r>
        <w:rPr/>
        <w:t>9 參、政府資產負債之查核··········································甲-24 肆、營業基金決算之審核··········································甲-30 伍、非營業特種基金決算之審核····································甲-31 陸、各方建議意見················································甲-35 柒、決算審核綜合成果············································甲-50</w:t>
      </w:r>
    </w:p>
    <w:p>
      <w:pPr>
        <w:pStyle w:val="Heading2"/>
        <w:spacing w:line="400" w:lineRule="exact"/>
      </w:pPr>
      <w:r>
        <w:rPr/>
        <w:t>乙、決算審核結果</w:t>
      </w:r>
    </w:p>
    <w:p>
      <w:pPr>
        <w:pStyle w:val="BodyText"/>
        <w:spacing w:before="94"/>
        <w:ind w:left="534"/>
        <w:jc w:val="both"/>
      </w:pPr>
      <w:r>
        <w:rPr/>
        <w:t>決算審核結果重要審核意見彙總索引································</w:t>
      </w:r>
      <w:r>
        <w:rPr>
          <w:spacing w:val="22"/>
        </w:rPr>
        <w:t>乙- </w:t>
      </w:r>
      <w:r>
        <w:rPr/>
        <w:t>1</w:t>
      </w:r>
    </w:p>
    <w:p>
      <w:pPr>
        <w:pStyle w:val="BodyText"/>
        <w:spacing w:before="108"/>
        <w:ind w:left="534"/>
        <w:jc w:val="both"/>
      </w:pPr>
      <w:r>
        <w:rPr>
          <w:spacing w:val="1"/>
        </w:rPr>
        <w:t>壹、縣議會主管</w:t>
      </w:r>
      <w:r>
        <w:rPr/>
        <w:t>··················································</w:t>
      </w:r>
      <w:r>
        <w:rPr>
          <w:spacing w:val="29"/>
        </w:rPr>
        <w:t>乙- </w:t>
      </w:r>
      <w:r>
        <w:rPr/>
        <w:t>7</w:t>
      </w:r>
    </w:p>
    <w:p>
      <w:pPr>
        <w:pStyle w:val="BodyText"/>
        <w:spacing w:line="302" w:lineRule="auto" w:before="108"/>
        <w:ind w:left="533" w:right="137" w:firstLine="1"/>
        <w:jc w:val="both"/>
      </w:pPr>
      <w:r>
        <w:rPr>
          <w:spacing w:val="1"/>
        </w:rPr>
        <w:t>貳、縣政府主管</w:t>
      </w:r>
      <w:r>
        <w:rPr/>
        <w:t>··················································</w:t>
      </w:r>
      <w:r>
        <w:rPr>
          <w:spacing w:val="26"/>
        </w:rPr>
        <w:t>乙- </w:t>
      </w:r>
      <w:r>
        <w:rPr/>
        <w:t>7 </w:t>
      </w:r>
      <w:r>
        <w:rPr>
          <w:spacing w:val="1"/>
        </w:rPr>
        <w:t>參、民政處主管</w:t>
      </w:r>
      <w:r>
        <w:rPr/>
        <w:t>·················································</w:t>
      </w:r>
      <w:r>
        <w:rPr>
          <w:spacing w:val="28"/>
        </w:rPr>
        <w:t> 乙</w:t>
      </w:r>
      <w:r>
        <w:rPr>
          <w:sz w:val="32"/>
        </w:rPr>
        <w:t>-</w:t>
      </w:r>
      <w:r>
        <w:rPr/>
        <w:t>44 </w:t>
      </w:r>
      <w:r>
        <w:rPr>
          <w:spacing w:val="1"/>
        </w:rPr>
        <w:t>肆、教育處主管</w:t>
      </w:r>
      <w:r>
        <w:rPr/>
        <w:t>··················································乙-45 伍、花蓮縣文化局主管············································乙-47 </w:t>
      </w:r>
      <w:r>
        <w:rPr>
          <w:spacing w:val="1"/>
        </w:rPr>
        <w:t>陸、農業處主管</w:t>
      </w:r>
      <w:r>
        <w:rPr/>
        <w:t>··················································乙-51 </w:t>
      </w:r>
      <w:r>
        <w:rPr>
          <w:spacing w:val="1"/>
        </w:rPr>
        <w:t>柒、地政處主管</w:t>
      </w:r>
      <w:r>
        <w:rPr/>
        <w:t>··················································乙-54 捌、花蓮縣地方稅務局主管········································乙-57 玖、花蓮縣警察局主管············································乙-59 拾、花蓮縣消防局主管············································乙-64 拾壹、花蓮縣衛生局主管··········································乙-69 拾貳、花蓮縣環境保護局主管······································乙-74 拾參、統籌支撥科目··············································乙-80</w:t>
      </w:r>
    </w:p>
    <w:p>
      <w:pPr>
        <w:spacing w:after="0" w:line="302" w:lineRule="auto"/>
        <w:jc w:val="both"/>
        <w:sectPr>
          <w:footerReference w:type="default" r:id="rId76"/>
          <w:pgSz w:w="11910" w:h="16840"/>
          <w:pgMar w:footer="1298" w:header="0" w:top="1480" w:bottom="1480" w:left="740" w:right="720"/>
          <w:pgNumType w:start="1"/>
        </w:sectPr>
      </w:pPr>
    </w:p>
    <w:p>
      <w:pPr>
        <w:pStyle w:val="BodyText"/>
        <w:tabs>
          <w:tab w:pos="9603" w:val="left" w:leader="middleDot"/>
        </w:tabs>
        <w:spacing w:before="20"/>
        <w:ind w:left="534"/>
      </w:pPr>
      <w:r>
        <w:rPr/>
        <w:t>拾肆</w:t>
      </w:r>
      <w:r>
        <w:rPr>
          <w:spacing w:val="-3"/>
        </w:rPr>
        <w:t>、</w:t>
      </w:r>
      <w:r>
        <w:rPr/>
        <w:t>第二</w:t>
      </w:r>
      <w:r>
        <w:rPr>
          <w:spacing w:val="-3"/>
        </w:rPr>
        <w:t>預備</w:t>
      </w:r>
      <w:r>
        <w:rPr/>
        <w:t>金</w:t>
        <w:tab/>
        <w:t>乙-80</w:t>
      </w:r>
    </w:p>
    <w:p>
      <w:pPr>
        <w:pStyle w:val="Heading2"/>
        <w:spacing w:before="68"/>
        <w:ind w:left="112"/>
      </w:pPr>
      <w:r>
        <w:rPr/>
        <w:t>丙、最終審定數額表</w:t>
      </w:r>
    </w:p>
    <w:p>
      <w:pPr>
        <w:pStyle w:val="BodyText"/>
        <w:spacing w:before="92"/>
        <w:ind w:left="572"/>
      </w:pPr>
      <w:r>
        <w:rPr>
          <w:spacing w:val="-2"/>
        </w:rPr>
        <w:t>壹、總決算歲入歲出決算審定數簡明比較表</w:t>
      </w:r>
      <w:r>
        <w:rPr/>
        <w:t>··························</w:t>
      </w:r>
      <w:r>
        <w:rPr>
          <w:spacing w:val="20"/>
        </w:rPr>
        <w:t>丙- </w:t>
      </w:r>
      <w:r>
        <w:rPr/>
        <w:t>1</w:t>
      </w:r>
    </w:p>
    <w:p>
      <w:pPr>
        <w:pStyle w:val="BodyText"/>
        <w:spacing w:before="110"/>
        <w:ind w:left="534"/>
      </w:pPr>
      <w:r>
        <w:rPr>
          <w:spacing w:val="-7"/>
        </w:rPr>
        <w:t>貳、總決算審定後收支簡明比較分析表 </w:t>
      </w:r>
      <w:r>
        <w:rPr/>
        <w:t>······························</w:t>
      </w:r>
      <w:r>
        <w:rPr>
          <w:spacing w:val="16"/>
        </w:rPr>
        <w:t>丙- </w:t>
      </w:r>
      <w:r>
        <w:rPr/>
        <w:t>3</w:t>
      </w:r>
    </w:p>
    <w:p>
      <w:pPr>
        <w:pStyle w:val="BodyText"/>
        <w:spacing w:before="107"/>
        <w:ind w:left="534"/>
      </w:pPr>
      <w:r>
        <w:rPr/>
        <w:t>參、融資調度決算審定表··········································</w:t>
      </w:r>
      <w:r>
        <w:rPr>
          <w:spacing w:val="26"/>
        </w:rPr>
        <w:t>丙- </w:t>
      </w:r>
      <w:r>
        <w:rPr/>
        <w:t>3</w:t>
      </w:r>
    </w:p>
    <w:p>
      <w:pPr>
        <w:pStyle w:val="BodyText"/>
        <w:spacing w:before="108"/>
        <w:ind w:left="534"/>
      </w:pPr>
      <w:r>
        <w:rPr>
          <w:spacing w:val="-6"/>
          <w:w w:val="95"/>
        </w:rPr>
        <w:t>肆、營業基金損益計算審定數額綜計表</w:t>
      </w:r>
      <w:r>
        <w:rPr>
          <w:spacing w:val="-3"/>
          <w:w w:val="95"/>
        </w:rPr>
        <w:t>（機關別</w:t>
      </w:r>
      <w:r>
        <w:rPr>
          <w:w w:val="95"/>
        </w:rPr>
        <w:t>）</w:t>
      </w:r>
      <w:r>
        <w:rPr>
          <w:spacing w:val="28"/>
          <w:w w:val="95"/>
        </w:rPr>
        <w:t> </w:t>
      </w:r>
      <w:r>
        <w:rPr>
          <w:w w:val="95"/>
        </w:rPr>
        <w:t>······················</w:t>
      </w:r>
      <w:r>
        <w:rPr>
          <w:spacing w:val="21"/>
          <w:w w:val="95"/>
        </w:rPr>
        <w:t>丙-  </w:t>
      </w:r>
      <w:r>
        <w:rPr>
          <w:w w:val="95"/>
        </w:rPr>
        <w:t>4</w:t>
      </w:r>
    </w:p>
    <w:p>
      <w:pPr>
        <w:pStyle w:val="BodyText"/>
        <w:spacing w:before="110"/>
        <w:ind w:left="534"/>
      </w:pPr>
      <w:r>
        <w:rPr>
          <w:spacing w:val="-3"/>
        </w:rPr>
        <w:t>伍、非營業特種基金收支餘絀審定數額綜計表-作業基金</w:t>
      </w:r>
      <w:r>
        <w:rPr/>
        <w:t>（</w:t>
      </w:r>
      <w:r>
        <w:rPr>
          <w:spacing w:val="-2"/>
        </w:rPr>
        <w:t>基金別</w:t>
      </w:r>
      <w:r>
        <w:rPr/>
        <w:t>）</w:t>
      </w:r>
      <w:r>
        <w:rPr>
          <w:spacing w:val="-37"/>
        </w:rPr>
        <w:t> </w:t>
      </w:r>
      <w:r>
        <w:rPr>
          <w:spacing w:val="2"/>
        </w:rPr>
        <w:t>·····</w:t>
      </w:r>
      <w:r>
        <w:rPr>
          <w:spacing w:val="5"/>
        </w:rPr>
        <w:t>丙- </w:t>
      </w:r>
      <w:r>
        <w:rPr/>
        <w:t>5</w:t>
      </w:r>
    </w:p>
    <w:p>
      <w:pPr>
        <w:pStyle w:val="BodyText"/>
        <w:spacing w:before="108"/>
        <w:ind w:left="534"/>
      </w:pPr>
      <w:r>
        <w:rPr>
          <w:spacing w:val="-22"/>
        </w:rPr>
        <w:t>陸、非營業特種基金來源用途及餘絀審定數額綜計表-特別收入基金（基金別</w:t>
      </w:r>
      <w:r>
        <w:rPr/>
        <w:t>）</w:t>
      </w:r>
      <w:r>
        <w:rPr>
          <w:spacing w:val="-24"/>
        </w:rPr>
        <w:t> 丙- </w:t>
      </w:r>
      <w:r>
        <w:rPr/>
        <w:t>7</w:t>
      </w:r>
    </w:p>
    <w:p>
      <w:pPr>
        <w:pStyle w:val="Heading2"/>
        <w:spacing w:before="67"/>
        <w:ind w:left="112"/>
      </w:pPr>
      <w:r>
        <w:rPr/>
        <w:t>丁、其他附表</w:t>
      </w:r>
    </w:p>
    <w:p>
      <w:pPr>
        <w:pStyle w:val="BodyText"/>
        <w:spacing w:before="95"/>
        <w:ind w:left="534"/>
        <w:jc w:val="both"/>
      </w:pPr>
      <w:r>
        <w:rPr/>
        <w:t>壹、歲入來源別決算審定表········································</w:t>
      </w:r>
      <w:r>
        <w:rPr>
          <w:spacing w:val="25"/>
        </w:rPr>
        <w:t>丁- </w:t>
      </w:r>
      <w:r>
        <w:rPr/>
        <w:t>1</w:t>
      </w:r>
    </w:p>
    <w:p>
      <w:pPr>
        <w:pStyle w:val="BodyText"/>
        <w:spacing w:before="107"/>
        <w:ind w:left="534"/>
        <w:jc w:val="both"/>
      </w:pPr>
      <w:r>
        <w:rPr/>
        <w:t>貳、歲出政事別決算審定表········································</w:t>
      </w:r>
      <w:r>
        <w:rPr>
          <w:spacing w:val="25"/>
        </w:rPr>
        <w:t>丁- </w:t>
      </w:r>
      <w:r>
        <w:rPr/>
        <w:t>3</w:t>
      </w:r>
    </w:p>
    <w:p>
      <w:pPr>
        <w:pStyle w:val="BodyText"/>
        <w:spacing w:before="108"/>
        <w:ind w:left="534"/>
        <w:jc w:val="both"/>
      </w:pPr>
      <w:r>
        <w:rPr/>
        <w:t>參、歲出機關別決算審定表········································</w:t>
      </w:r>
      <w:r>
        <w:rPr>
          <w:spacing w:val="25"/>
        </w:rPr>
        <w:t>丁- </w:t>
      </w:r>
      <w:r>
        <w:rPr/>
        <w:t>5</w:t>
      </w:r>
    </w:p>
    <w:p>
      <w:pPr>
        <w:pStyle w:val="BodyText"/>
        <w:spacing w:before="110"/>
        <w:ind w:left="534"/>
        <w:jc w:val="both"/>
      </w:pPr>
      <w:r>
        <w:rPr>
          <w:spacing w:val="-6"/>
        </w:rPr>
        <w:t>肆、以前年度歲入來源別轉入數決算審定表 </w:t>
      </w:r>
      <w:r>
        <w:rPr/>
        <w:t>··························</w:t>
      </w:r>
      <w:r>
        <w:rPr>
          <w:spacing w:val="14"/>
        </w:rPr>
        <w:t>丁- </w:t>
      </w:r>
      <w:r>
        <w:rPr/>
        <w:t>7</w:t>
      </w:r>
    </w:p>
    <w:p>
      <w:pPr>
        <w:pStyle w:val="BodyText"/>
        <w:spacing w:line="307" w:lineRule="auto" w:before="108"/>
        <w:ind w:left="533" w:right="137" w:firstLine="1"/>
        <w:jc w:val="both"/>
      </w:pPr>
      <w:r>
        <w:rPr>
          <w:spacing w:val="-7"/>
        </w:rPr>
        <w:t>伍、以前年度歲出機關別轉入數決算審定表 </w:t>
      </w:r>
      <w:r>
        <w:rPr/>
        <w:t>··························</w:t>
      </w:r>
      <w:r>
        <w:rPr>
          <w:spacing w:val="13"/>
        </w:rPr>
        <w:t>丁- </w:t>
      </w:r>
      <w:r>
        <w:rPr/>
        <w:t>9 </w:t>
      </w:r>
      <w:r>
        <w:rPr>
          <w:spacing w:val="-4"/>
        </w:rPr>
        <w:t>陸、總決算審定後歲入歲出性質及餘絀簡明比較分析表 </w:t>
      </w:r>
      <w:r>
        <w:rPr/>
        <w:t>················丁-11 柒、總決算審定後收入支出彙計表··································丁-13 捌、總決算審定後累計餘絀計算表··································丁-14 玖、歲入決算修正數明細表········································丁-15 拾、歲出決算修正數明細表········································丁-17 </w:t>
      </w:r>
      <w:r>
        <w:rPr>
          <w:spacing w:val="-5"/>
        </w:rPr>
        <w:t>拾壹、以前年度歲入轉入數決算修正數明細表 </w:t>
      </w:r>
      <w:r>
        <w:rPr/>
        <w:t>························丁-17 </w:t>
      </w:r>
      <w:r>
        <w:rPr>
          <w:spacing w:val="-6"/>
        </w:rPr>
        <w:t>拾貳、以前年度歲出轉入數決算修正數明細表 </w:t>
      </w:r>
      <w:r>
        <w:rPr/>
        <w:t>························丁-17 拾參、營業基金決算審定數簡表····································丁-19 </w:t>
      </w:r>
      <w:r>
        <w:rPr>
          <w:spacing w:val="-3"/>
        </w:rPr>
        <w:t>拾肆、營業基金損益計算審定數簡表</w:t>
      </w:r>
      <w:r>
        <w:rPr/>
        <w:t>（</w:t>
      </w:r>
      <w:r>
        <w:rPr>
          <w:spacing w:val="-2"/>
        </w:rPr>
        <w:t>機關別</w:t>
      </w:r>
      <w:r>
        <w:rPr/>
        <w:t>）</w:t>
      </w:r>
      <w:r>
        <w:rPr>
          <w:spacing w:val="-29"/>
        </w:rPr>
        <w:t> </w:t>
      </w:r>
      <w:r>
        <w:rPr/>
        <w:t>······················丁-19 </w:t>
      </w:r>
      <w:r>
        <w:rPr>
          <w:spacing w:val="-3"/>
        </w:rPr>
        <w:t>拾伍、營業基金盈虧撥補審定數額綜計表（</w:t>
      </w:r>
      <w:r>
        <w:rPr>
          <w:spacing w:val="-1"/>
        </w:rPr>
        <w:t>機關別</w:t>
      </w:r>
      <w:r>
        <w:rPr/>
        <w:t>）</w:t>
      </w:r>
      <w:r>
        <w:rPr>
          <w:spacing w:val="-24"/>
        </w:rPr>
        <w:t> </w:t>
      </w:r>
      <w:r>
        <w:rPr/>
        <w:t>··················丁-19 </w:t>
      </w:r>
      <w:r>
        <w:rPr>
          <w:spacing w:val="-1"/>
        </w:rPr>
        <w:t>拾陸、營業基金盈虧審定後資產負債綜計表</w:t>
      </w:r>
      <w:r>
        <w:rPr/>
        <w:t>（</w:t>
      </w:r>
      <w:r>
        <w:rPr>
          <w:spacing w:val="-3"/>
        </w:rPr>
        <w:t>科目別</w:t>
      </w:r>
      <w:r>
        <w:rPr/>
        <w:t>）················丁-20 </w:t>
      </w:r>
      <w:r>
        <w:rPr>
          <w:spacing w:val="-3"/>
        </w:rPr>
        <w:t>拾柒、非營業特種基金收支餘絀審定數簡表－作業基金</w:t>
      </w:r>
      <w:r>
        <w:rPr/>
        <w:t>（</w:t>
      </w:r>
      <w:r>
        <w:rPr>
          <w:spacing w:val="-2"/>
        </w:rPr>
        <w:t>科目別</w:t>
      </w:r>
      <w:r>
        <w:rPr/>
        <w:t>）</w:t>
      </w:r>
      <w:r>
        <w:rPr>
          <w:spacing w:val="-24"/>
        </w:rPr>
        <w:t> </w:t>
      </w:r>
      <w:r>
        <w:rPr>
          <w:spacing w:val="2"/>
        </w:rPr>
        <w:t>······</w:t>
      </w:r>
      <w:r>
        <w:rPr/>
        <w:t>丁-21 </w:t>
      </w:r>
      <w:r>
        <w:rPr>
          <w:spacing w:val="-3"/>
        </w:rPr>
        <w:t>拾捌、非營業特種基金收支餘絀審定數簡表－作業基金</w:t>
      </w:r>
      <w:r>
        <w:rPr/>
        <w:t>（</w:t>
      </w:r>
      <w:r>
        <w:rPr>
          <w:spacing w:val="-2"/>
        </w:rPr>
        <w:t>基金別</w:t>
      </w:r>
      <w:r>
        <w:rPr/>
        <w:t>）</w:t>
      </w:r>
      <w:r>
        <w:rPr>
          <w:spacing w:val="-23"/>
        </w:rPr>
        <w:t> </w:t>
      </w:r>
      <w:r>
        <w:rPr>
          <w:spacing w:val="2"/>
        </w:rPr>
        <w:t>······</w:t>
      </w:r>
      <w:r>
        <w:rPr/>
        <w:t>丁-21</w:t>
      </w:r>
    </w:p>
    <w:p>
      <w:pPr>
        <w:spacing w:after="0" w:line="307" w:lineRule="auto"/>
        <w:jc w:val="both"/>
        <w:sectPr>
          <w:pgSz w:w="11910" w:h="16840"/>
          <w:pgMar w:header="0" w:footer="1298" w:top="1500" w:bottom="1480" w:left="740" w:right="720"/>
        </w:sectPr>
      </w:pPr>
    </w:p>
    <w:p>
      <w:pPr>
        <w:pStyle w:val="BodyText"/>
        <w:spacing w:before="20"/>
        <w:ind w:left="534"/>
        <w:jc w:val="both"/>
      </w:pPr>
      <w:r>
        <w:rPr>
          <w:spacing w:val="-3"/>
        </w:rPr>
        <w:t>拾玖、非營業特種基金餘絀撥補審定數額綜計表－作業基金（</w:t>
      </w:r>
      <w:r>
        <w:rPr>
          <w:spacing w:val="-1"/>
        </w:rPr>
        <w:t>基金別</w:t>
      </w:r>
      <w:r>
        <w:rPr/>
        <w:t>）</w:t>
      </w:r>
      <w:r>
        <w:rPr>
          <w:spacing w:val="-13"/>
        </w:rPr>
        <w:t> </w:t>
      </w:r>
      <w:r>
        <w:rPr>
          <w:spacing w:val="4"/>
        </w:rPr>
        <w:t>··</w:t>
      </w:r>
      <w:r>
        <w:rPr/>
        <w:t>丁-22</w:t>
      </w:r>
    </w:p>
    <w:p>
      <w:pPr>
        <w:pStyle w:val="BodyText"/>
        <w:spacing w:line="307" w:lineRule="auto" w:before="108"/>
        <w:ind w:left="533" w:right="126"/>
        <w:jc w:val="both"/>
      </w:pPr>
      <w:r>
        <w:rPr>
          <w:spacing w:val="-3"/>
        </w:rPr>
        <w:t>貳拾、非營業特種基金餘絀審定後平衡綜計表－作業基金</w:t>
      </w:r>
      <w:r>
        <w:rPr/>
        <w:t>（</w:t>
      </w:r>
      <w:r>
        <w:rPr>
          <w:spacing w:val="-2"/>
        </w:rPr>
        <w:t>科目別</w:t>
      </w:r>
      <w:r>
        <w:rPr/>
        <w:t>）</w:t>
      </w:r>
      <w:r>
        <w:rPr>
          <w:spacing w:val="33"/>
        </w:rPr>
        <w:t>  丁-</w:t>
      </w:r>
      <w:r>
        <w:rPr/>
        <w:t>24 </w:t>
      </w:r>
      <w:r>
        <w:rPr>
          <w:spacing w:val="-27"/>
        </w:rPr>
        <w:t>貳拾壹、非營業特種基金來源用途及餘絀審定數簡表－特別收入基金</w:t>
      </w:r>
      <w:r>
        <w:rPr>
          <w:spacing w:val="-24"/>
        </w:rPr>
        <w:t>（</w:t>
      </w:r>
      <w:r>
        <w:rPr>
          <w:spacing w:val="-26"/>
        </w:rPr>
        <w:t>科目別</w:t>
      </w:r>
      <w:r>
        <w:rPr/>
        <w:t>）</w:t>
      </w:r>
      <w:r>
        <w:rPr>
          <w:spacing w:val="-17"/>
        </w:rPr>
        <w:t> 丁-</w:t>
      </w:r>
      <w:r>
        <w:rPr>
          <w:spacing w:val="-9"/>
        </w:rPr>
        <w:t>25 </w:t>
      </w:r>
      <w:r>
        <w:rPr>
          <w:spacing w:val="-22"/>
        </w:rPr>
        <w:t>貳拾貳、非營業特種基金來源用途及餘絀審定數簡表-特別收入基金（基金別）</w:t>
      </w:r>
      <w:r>
        <w:rPr/>
        <w:t>丁-25 </w:t>
      </w:r>
      <w:r>
        <w:rPr>
          <w:spacing w:val="-5"/>
        </w:rPr>
        <w:t>貳拾參、非營業特種基金餘絀審定後平衡綜計表-特別收入基金</w:t>
      </w:r>
      <w:r>
        <w:rPr>
          <w:spacing w:val="-6"/>
        </w:rPr>
        <w:t>（</w:t>
      </w:r>
      <w:r>
        <w:rPr>
          <w:spacing w:val="-5"/>
        </w:rPr>
        <w:t>科目別</w:t>
      </w:r>
      <w:r>
        <w:rPr/>
        <w:t>）丁-26 </w:t>
      </w:r>
      <w:r>
        <w:rPr>
          <w:spacing w:val="-4"/>
        </w:rPr>
        <w:t>貳拾肆、營業基金及非營業特種基金修正事項明細表 </w:t>
      </w:r>
      <w:r>
        <w:rPr/>
        <w:t>··················丁-27 </w:t>
      </w:r>
      <w:r>
        <w:rPr>
          <w:spacing w:val="-4"/>
        </w:rPr>
        <w:t>貳拾伍、營業基金及非營業特種基金長期債務舉借與償還彙總表 </w:t>
      </w:r>
      <w:r>
        <w:rPr/>
        <w:t>········丁-29 </w:t>
      </w:r>
      <w:r>
        <w:rPr>
          <w:spacing w:val="-4"/>
        </w:rPr>
        <w:t>貳拾陸、已結束基金清理或結束整理期間收支計算簡表 </w:t>
      </w:r>
      <w:r>
        <w:rPr/>
        <w:t>················丁-29</w:t>
      </w:r>
    </w:p>
    <w:p>
      <w:pPr>
        <w:pStyle w:val="Heading2"/>
        <w:spacing w:line="398" w:lineRule="exact"/>
        <w:jc w:val="both"/>
      </w:pPr>
      <w:r>
        <w:rPr/>
        <w:t>戊、附 錄</w:t>
      </w:r>
    </w:p>
    <w:p>
      <w:pPr>
        <w:pStyle w:val="BodyText"/>
        <w:spacing w:before="94"/>
        <w:ind w:right="138"/>
        <w:jc w:val="right"/>
      </w:pPr>
      <w:r>
        <w:rPr/>
        <w:t>壹、公庫年度出納終結報告之查核··································</w:t>
      </w:r>
      <w:r>
        <w:rPr>
          <w:spacing w:val="23"/>
        </w:rPr>
        <w:t>戊- </w:t>
      </w:r>
      <w:r>
        <w:rPr/>
        <w:t>1</w:t>
      </w:r>
    </w:p>
    <w:p>
      <w:pPr>
        <w:pStyle w:val="BodyText"/>
        <w:spacing w:before="108"/>
        <w:ind w:right="138"/>
        <w:jc w:val="right"/>
      </w:pPr>
      <w:r>
        <w:rPr/>
        <w:t>貳、資產負債之查核··············································</w:t>
      </w:r>
      <w:r>
        <w:rPr>
          <w:spacing w:val="27"/>
        </w:rPr>
        <w:t>戊- </w:t>
      </w:r>
      <w:r>
        <w:rPr/>
        <w:t>9</w:t>
      </w:r>
    </w:p>
    <w:p>
      <w:pPr>
        <w:pStyle w:val="BodyText"/>
        <w:spacing w:line="307" w:lineRule="auto" w:before="108"/>
        <w:ind w:left="534" w:right="137" w:firstLine="278"/>
        <w:jc w:val="right"/>
      </w:pPr>
      <w:r>
        <w:rPr>
          <w:spacing w:val="3"/>
        </w:rPr>
        <w:t>一、平衡表</w:t>
      </w:r>
      <w:r>
        <w:rPr/>
        <w:t>····················································</w:t>
      </w:r>
      <w:r>
        <w:rPr>
          <w:spacing w:val="29"/>
        </w:rPr>
        <w:t>戊- </w:t>
      </w:r>
      <w:r>
        <w:rPr/>
        <w:t>9</w:t>
      </w:r>
      <w:r>
        <w:rPr>
          <w:spacing w:val="2"/>
        </w:rPr>
        <w:t>二、資本資產表</w:t>
      </w:r>
      <w:r>
        <w:rPr/>
        <w:t>················································戊-12 </w:t>
      </w:r>
      <w:r>
        <w:rPr>
          <w:spacing w:val="2"/>
        </w:rPr>
        <w:t>三、長期負債表</w:t>
      </w:r>
      <w:r>
        <w:rPr/>
        <w:t>················································戊-14 </w:t>
      </w:r>
      <w:r>
        <w:rPr>
          <w:spacing w:val="-4"/>
        </w:rPr>
        <w:t>參、已結束基金清理或結束整理期間收支之查核 </w:t>
      </w:r>
      <w:r>
        <w:rPr/>
        <w:t>······················戊-16</w:t>
      </w:r>
      <w:r>
        <w:rPr>
          <w:spacing w:val="-6"/>
        </w:rPr>
        <w:t>肆、政府捐助財團法人效益評估表之查核 </w:t>
      </w:r>
      <w:r>
        <w:rPr/>
        <w:t>····························戊-17</w:t>
      </w:r>
      <w:r>
        <w:rPr>
          <w:spacing w:val="-4"/>
        </w:rPr>
        <w:t>伍、重大公共建設計畫執行情形之查核 </w:t>
      </w:r>
      <w:r>
        <w:rPr/>
        <w:t>······························戊-18</w:t>
      </w:r>
      <w:r>
        <w:rPr>
          <w:spacing w:val="-6"/>
        </w:rPr>
        <w:t>陸、中央政府前瞻基礎建設計畫特別預算執行情形之查核 </w:t>
      </w:r>
      <w:r>
        <w:rPr/>
        <w:t>··············戊-24</w:t>
      </w:r>
    </w:p>
    <w:p>
      <w:pPr>
        <w:spacing w:after="0" w:line="307" w:lineRule="auto"/>
        <w:jc w:val="right"/>
        <w:sectPr>
          <w:pgSz w:w="11910" w:h="16840"/>
          <w:pgMar w:header="0" w:footer="1298" w:top="1500" w:bottom="1480" w:left="740" w:right="720"/>
        </w:sectPr>
      </w:pPr>
    </w:p>
    <w:p>
      <w:pPr>
        <w:pStyle w:val="Heading2"/>
        <w:spacing w:before="18"/>
        <w:ind w:left="1014" w:right="1026"/>
        <w:jc w:val="center"/>
      </w:pPr>
      <w:r>
        <w:rPr/>
        <w:t>審編說明</w:t>
      </w:r>
    </w:p>
    <w:p>
      <w:pPr>
        <w:pStyle w:val="BodyText"/>
        <w:spacing w:before="2"/>
        <w:rPr>
          <w:b/>
          <w:sz w:val="26"/>
        </w:rPr>
      </w:pPr>
    </w:p>
    <w:p>
      <w:pPr>
        <w:pStyle w:val="BodyText"/>
        <w:spacing w:line="391" w:lineRule="auto"/>
        <w:ind w:left="671" w:right="128" w:hanging="560"/>
      </w:pPr>
      <w:r>
        <w:rPr/>
        <w:t>一、內文及統計圖表敘及資料年度，以民國年度為原則，如引用國際資訊，或有以西元年度表達情形。</w:t>
      </w:r>
    </w:p>
    <w:p>
      <w:pPr>
        <w:pStyle w:val="BodyText"/>
        <w:spacing w:line="393" w:lineRule="auto" w:before="3"/>
        <w:ind w:left="111" w:right="128"/>
      </w:pPr>
      <w:r>
        <w:rPr>
          <w:spacing w:val="-3"/>
        </w:rPr>
        <w:t>二、約數金額【如：億</w:t>
      </w:r>
      <w:r>
        <w:rPr/>
        <w:t>（</w:t>
      </w:r>
      <w:r>
        <w:rPr>
          <w:spacing w:val="-3"/>
        </w:rPr>
        <w:t>餘</w:t>
      </w:r>
      <w:r>
        <w:rPr/>
        <w:t>）</w:t>
      </w:r>
      <w:r>
        <w:rPr>
          <w:spacing w:val="-3"/>
        </w:rPr>
        <w:t>元、萬</w:t>
      </w:r>
      <w:r>
        <w:rPr/>
        <w:t>（餘）</w:t>
      </w:r>
      <w:r>
        <w:rPr>
          <w:spacing w:val="-3"/>
        </w:rPr>
        <w:t>元等】之表達，以餘數全捨為原則。  </w:t>
      </w:r>
      <w:r>
        <w:rPr>
          <w:spacing w:val="-1"/>
        </w:rPr>
        <w:t>三、各項數字之百分比，因採四捨五入方式計算，細項數字百分比之和，與總計數</w:t>
      </w:r>
    </w:p>
    <w:p>
      <w:pPr>
        <w:pStyle w:val="BodyText"/>
        <w:spacing w:line="387" w:lineRule="exact"/>
        <w:ind w:left="671"/>
      </w:pPr>
      <w:r>
        <w:rPr/>
        <w:t>之百分比或有差異。</w:t>
      </w:r>
    </w:p>
    <w:p>
      <w:pPr>
        <w:pStyle w:val="BodyText"/>
        <w:spacing w:line="391" w:lineRule="auto" w:before="249"/>
        <w:ind w:left="670" w:right="113" w:hanging="559"/>
        <w:jc w:val="both"/>
      </w:pPr>
      <w:r>
        <w:rPr/>
        <w:t>四、統計表內數值為零或數值無統計者，以「－」表示；數值無意義者，以「--」</w:t>
      </w:r>
      <w:r>
        <w:rPr>
          <w:spacing w:val="-6"/>
        </w:rPr>
        <w:t>表示；有數值惟未達表列統計單位者，最多表達至小數點後 </w:t>
      </w:r>
      <w:r>
        <w:rPr/>
        <w:t>2</w:t>
      </w:r>
      <w:r>
        <w:rPr>
          <w:spacing w:val="-11"/>
        </w:rPr>
        <w:t> 位，否則以「</w:t>
      </w:r>
      <w:r>
        <w:rPr/>
        <w:t>0」表示。</w:t>
      </w:r>
    </w:p>
    <w:p>
      <w:pPr>
        <w:pStyle w:val="BodyText"/>
        <w:spacing w:before="5"/>
        <w:ind w:left="111"/>
        <w:jc w:val="both"/>
      </w:pPr>
      <w:r>
        <w:rPr/>
        <w:t>五、特別收入基金之預算數，係 109 年度法定預算數；至決算數及決算審定數，係</w:t>
      </w:r>
    </w:p>
    <w:p>
      <w:pPr>
        <w:pStyle w:val="BodyText"/>
        <w:spacing w:before="249"/>
        <w:ind w:left="670"/>
      </w:pPr>
      <w:r>
        <w:rPr/>
        <w:t>包含 109 年度預算數、報准先行辦理數及以前年度保留數等之執行數。</w:t>
      </w:r>
    </w:p>
    <w:p>
      <w:pPr>
        <w:pStyle w:val="BodyText"/>
        <w:spacing w:before="216"/>
        <w:ind w:left="16" w:right="34"/>
        <w:jc w:val="center"/>
      </w:pPr>
      <w:r>
        <w:rPr/>
        <w:t>六、花蓮警光會館基金為花蓮縣警察局主管之非營業作業基金，經花蓮縣政府核定於</w:t>
      </w:r>
    </w:p>
    <w:p>
      <w:pPr>
        <w:pStyle w:val="BodyText"/>
        <w:spacing w:before="208"/>
        <w:ind w:left="663"/>
      </w:pPr>
      <w:r>
        <w:rPr>
          <w:spacing w:val="-2"/>
        </w:rPr>
        <w:t>109</w:t>
      </w:r>
      <w:r>
        <w:rPr>
          <w:spacing w:val="-50"/>
        </w:rPr>
        <w:t> 年 </w:t>
      </w:r>
      <w:r>
        <w:rPr/>
        <w:t>1</w:t>
      </w:r>
      <w:r>
        <w:rPr>
          <w:spacing w:val="-51"/>
        </w:rPr>
        <w:t> 月 </w:t>
      </w:r>
      <w:r>
        <w:rPr/>
        <w:t>1</w:t>
      </w:r>
      <w:r>
        <w:rPr>
          <w:spacing w:val="-20"/>
        </w:rPr>
        <w:t> 日結束，並納編該局 </w:t>
      </w:r>
      <w:r>
        <w:rPr>
          <w:spacing w:val="-2"/>
        </w:rPr>
        <w:t>109</w:t>
      </w:r>
      <w:r>
        <w:rPr>
          <w:spacing w:val="-16"/>
        </w:rPr>
        <w:t> 年度單位預算。</w:t>
      </w:r>
    </w:p>
    <w:sectPr>
      <w:footerReference w:type="default" r:id="rId77"/>
      <w:pgSz w:w="11910" w:h="16840"/>
      <w:pgMar w:footer="0" w:header="0" w:top="1520" w:bottom="280" w:left="740" w:right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標楷體">
    <w:altName w:val="標楷體"/>
    <w:charset w:val="88"/>
    <w:family w:val="script"/>
    <w:pitch w:val="fixed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89.279999pt;margin-top:794.230591pt;width:40pt;height:14pt;mso-position-horizontal-relative:page;mso-position-vertical-relative:page;z-index:-252471296" type="#_x0000_t202" filled="false" stroked="false">
          <v:textbox inset="0,0,0,0">
            <w:txbxContent>
              <w:p>
                <w:pPr>
                  <w:spacing w:line="280" w:lineRule="exact" w:before="0"/>
                  <w:ind w:left="20" w:right="0" w:firstLine="0"/>
                  <w:jc w:val="left"/>
                  <w:rPr>
                    <w:sz w:val="24"/>
                  </w:rPr>
                </w:pPr>
                <w:r>
                  <w:rPr>
                    <w:sz w:val="24"/>
                  </w:rPr>
                  <w:t>前言-</w:t>
                </w:r>
                <w:r>
                  <w:rPr/>
                  <w:fldChar w:fldCharType="begin"/>
                </w:r>
                <w:r>
                  <w:rPr>
                    <w:sz w:val="2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275.720001pt;margin-top:766.030579pt;width:46pt;height:14pt;mso-position-horizontal-relative:page;mso-position-vertical-relative:page;z-index:-252470272" type="#_x0000_t202" filled="false" stroked="false">
          <v:textbox inset="0,0,0,0">
            <w:txbxContent>
              <w:p>
                <w:pPr>
                  <w:spacing w:line="280" w:lineRule="exact" w:before="0"/>
                  <w:ind w:left="20" w:right="0" w:firstLine="0"/>
                  <w:jc w:val="left"/>
                  <w:rPr>
                    <w:sz w:val="24"/>
                  </w:rPr>
                </w:pPr>
                <w:r>
                  <w:rPr>
                    <w:sz w:val="24"/>
                  </w:rPr>
                  <w:t>目錄－</w:t>
                </w:r>
                <w:r>
                  <w:rPr/>
                  <w:fldChar w:fldCharType="begin"/>
                </w:r>
                <w:r>
                  <w:rPr>
                    <w:sz w:val="2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標楷體" w:hAnsi="標楷體" w:eastAsia="標楷體" w:cs="標楷體"/>
    </w:rPr>
  </w:style>
  <w:style w:styleId="BodyText" w:type="paragraph">
    <w:name w:val="Body Text"/>
    <w:basedOn w:val="Normal"/>
    <w:uiPriority w:val="1"/>
    <w:qFormat/>
    <w:pPr/>
    <w:rPr>
      <w:rFonts w:ascii="標楷體" w:hAnsi="標楷體" w:eastAsia="標楷體" w:cs="標楷體"/>
      <w:sz w:val="28"/>
      <w:szCs w:val="28"/>
    </w:rPr>
  </w:style>
  <w:style w:styleId="Heading1" w:type="paragraph">
    <w:name w:val="Heading 1"/>
    <w:basedOn w:val="Normal"/>
    <w:uiPriority w:val="1"/>
    <w:qFormat/>
    <w:pPr>
      <w:ind w:right="313"/>
      <w:jc w:val="center"/>
      <w:outlineLvl w:val="1"/>
    </w:pPr>
    <w:rPr>
      <w:rFonts w:ascii="標楷體" w:hAnsi="標楷體" w:eastAsia="標楷體" w:cs="標楷體"/>
      <w:b/>
      <w:bCs/>
      <w:sz w:val="48"/>
      <w:szCs w:val="48"/>
    </w:rPr>
  </w:style>
  <w:style w:styleId="Heading2" w:type="paragraph">
    <w:name w:val="Heading 2"/>
    <w:basedOn w:val="Normal"/>
    <w:uiPriority w:val="1"/>
    <w:qFormat/>
    <w:pPr>
      <w:ind w:left="253"/>
      <w:outlineLvl w:val="2"/>
    </w:pPr>
    <w:rPr>
      <w:rFonts w:ascii="標楷體" w:hAnsi="標楷體" w:eastAsia="標楷體" w:cs="標楷體"/>
      <w:b/>
      <w:bCs/>
      <w:sz w:val="32"/>
      <w:szCs w:val="32"/>
    </w:rPr>
  </w:style>
  <w:style w:styleId="Heading3" w:type="paragraph">
    <w:name w:val="Heading 3"/>
    <w:basedOn w:val="Normal"/>
    <w:uiPriority w:val="1"/>
    <w:qFormat/>
    <w:pPr>
      <w:spacing w:before="213"/>
      <w:outlineLvl w:val="3"/>
    </w:pPr>
    <w:rPr>
      <w:rFonts w:ascii="標楷體" w:hAnsi="標楷體" w:eastAsia="標楷體" w:cs="標楷體"/>
      <w:sz w:val="32"/>
      <w:szCs w:val="32"/>
    </w:rPr>
  </w:style>
  <w:style w:styleId="Heading4" w:type="paragraph">
    <w:name w:val="Heading 4"/>
    <w:basedOn w:val="Normal"/>
    <w:uiPriority w:val="1"/>
    <w:qFormat/>
    <w:pPr>
      <w:spacing w:line="325" w:lineRule="exact"/>
      <w:ind w:left="2170"/>
      <w:outlineLvl w:val="4"/>
    </w:pPr>
    <w:rPr>
      <w:rFonts w:ascii="標楷體" w:hAnsi="標楷體" w:eastAsia="標楷體" w:cs="標楷體"/>
      <w:b/>
      <w:bCs/>
      <w:sz w:val="28"/>
      <w:szCs w:val="28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image" Target="media/image1.png"/><Relationship Id="rId8" Type="http://schemas.openxmlformats.org/officeDocument/2006/relationships/image" Target="media/image2.png"/><Relationship Id="rId9" Type="http://schemas.openxmlformats.org/officeDocument/2006/relationships/image" Target="media/image3.png"/><Relationship Id="rId10" Type="http://schemas.openxmlformats.org/officeDocument/2006/relationships/image" Target="media/image4.png"/><Relationship Id="rId11" Type="http://schemas.openxmlformats.org/officeDocument/2006/relationships/image" Target="media/image5.png"/><Relationship Id="rId12" Type="http://schemas.openxmlformats.org/officeDocument/2006/relationships/image" Target="media/image6.png"/><Relationship Id="rId13" Type="http://schemas.openxmlformats.org/officeDocument/2006/relationships/image" Target="media/image7.png"/><Relationship Id="rId14" Type="http://schemas.openxmlformats.org/officeDocument/2006/relationships/image" Target="media/image8.png"/><Relationship Id="rId15" Type="http://schemas.openxmlformats.org/officeDocument/2006/relationships/image" Target="media/image9.png"/><Relationship Id="rId16" Type="http://schemas.openxmlformats.org/officeDocument/2006/relationships/image" Target="media/image10.png"/><Relationship Id="rId17" Type="http://schemas.openxmlformats.org/officeDocument/2006/relationships/image" Target="media/image11.png"/><Relationship Id="rId18" Type="http://schemas.openxmlformats.org/officeDocument/2006/relationships/image" Target="media/image12.png"/><Relationship Id="rId19" Type="http://schemas.openxmlformats.org/officeDocument/2006/relationships/image" Target="media/image13.png"/><Relationship Id="rId20" Type="http://schemas.openxmlformats.org/officeDocument/2006/relationships/image" Target="media/image14.png"/><Relationship Id="rId21" Type="http://schemas.openxmlformats.org/officeDocument/2006/relationships/image" Target="media/image15.png"/><Relationship Id="rId22" Type="http://schemas.openxmlformats.org/officeDocument/2006/relationships/image" Target="media/image16.png"/><Relationship Id="rId23" Type="http://schemas.openxmlformats.org/officeDocument/2006/relationships/image" Target="media/image17.png"/><Relationship Id="rId24" Type="http://schemas.openxmlformats.org/officeDocument/2006/relationships/image" Target="media/image18.png"/><Relationship Id="rId25" Type="http://schemas.openxmlformats.org/officeDocument/2006/relationships/image" Target="media/image19.png"/><Relationship Id="rId26" Type="http://schemas.openxmlformats.org/officeDocument/2006/relationships/image" Target="media/image20.png"/><Relationship Id="rId27" Type="http://schemas.openxmlformats.org/officeDocument/2006/relationships/image" Target="media/image21.png"/><Relationship Id="rId28" Type="http://schemas.openxmlformats.org/officeDocument/2006/relationships/image" Target="media/image22.png"/><Relationship Id="rId29" Type="http://schemas.openxmlformats.org/officeDocument/2006/relationships/image" Target="media/image23.png"/><Relationship Id="rId30" Type="http://schemas.openxmlformats.org/officeDocument/2006/relationships/image" Target="media/image24.png"/><Relationship Id="rId31" Type="http://schemas.openxmlformats.org/officeDocument/2006/relationships/image" Target="media/image25.png"/><Relationship Id="rId32" Type="http://schemas.openxmlformats.org/officeDocument/2006/relationships/image" Target="media/image26.png"/><Relationship Id="rId33" Type="http://schemas.openxmlformats.org/officeDocument/2006/relationships/image" Target="media/image27.png"/><Relationship Id="rId34" Type="http://schemas.openxmlformats.org/officeDocument/2006/relationships/image" Target="media/image28.png"/><Relationship Id="rId35" Type="http://schemas.openxmlformats.org/officeDocument/2006/relationships/image" Target="media/image29.png"/><Relationship Id="rId36" Type="http://schemas.openxmlformats.org/officeDocument/2006/relationships/image" Target="media/image30.png"/><Relationship Id="rId37" Type="http://schemas.openxmlformats.org/officeDocument/2006/relationships/image" Target="media/image31.png"/><Relationship Id="rId38" Type="http://schemas.openxmlformats.org/officeDocument/2006/relationships/image" Target="media/image32.png"/><Relationship Id="rId39" Type="http://schemas.openxmlformats.org/officeDocument/2006/relationships/image" Target="media/image33.png"/><Relationship Id="rId40" Type="http://schemas.openxmlformats.org/officeDocument/2006/relationships/image" Target="media/image34.png"/><Relationship Id="rId41" Type="http://schemas.openxmlformats.org/officeDocument/2006/relationships/image" Target="media/image35.png"/><Relationship Id="rId42" Type="http://schemas.openxmlformats.org/officeDocument/2006/relationships/footer" Target="footer3.xml"/><Relationship Id="rId43" Type="http://schemas.openxmlformats.org/officeDocument/2006/relationships/image" Target="media/image36.png"/><Relationship Id="rId44" Type="http://schemas.openxmlformats.org/officeDocument/2006/relationships/image" Target="media/image37.png"/><Relationship Id="rId45" Type="http://schemas.openxmlformats.org/officeDocument/2006/relationships/image" Target="media/image38.png"/><Relationship Id="rId46" Type="http://schemas.openxmlformats.org/officeDocument/2006/relationships/image" Target="media/image39.png"/><Relationship Id="rId47" Type="http://schemas.openxmlformats.org/officeDocument/2006/relationships/image" Target="media/image40.png"/><Relationship Id="rId48" Type="http://schemas.openxmlformats.org/officeDocument/2006/relationships/image" Target="media/image41.png"/><Relationship Id="rId49" Type="http://schemas.openxmlformats.org/officeDocument/2006/relationships/image" Target="media/image42.png"/><Relationship Id="rId50" Type="http://schemas.openxmlformats.org/officeDocument/2006/relationships/image" Target="media/image43.png"/><Relationship Id="rId51" Type="http://schemas.openxmlformats.org/officeDocument/2006/relationships/image" Target="media/image44.png"/><Relationship Id="rId52" Type="http://schemas.openxmlformats.org/officeDocument/2006/relationships/image" Target="media/image45.png"/><Relationship Id="rId53" Type="http://schemas.openxmlformats.org/officeDocument/2006/relationships/image" Target="media/image46.png"/><Relationship Id="rId54" Type="http://schemas.openxmlformats.org/officeDocument/2006/relationships/image" Target="media/image47.png"/><Relationship Id="rId55" Type="http://schemas.openxmlformats.org/officeDocument/2006/relationships/image" Target="media/image48.png"/><Relationship Id="rId56" Type="http://schemas.openxmlformats.org/officeDocument/2006/relationships/image" Target="media/image49.png"/><Relationship Id="rId57" Type="http://schemas.openxmlformats.org/officeDocument/2006/relationships/image" Target="media/image50.png"/><Relationship Id="rId58" Type="http://schemas.openxmlformats.org/officeDocument/2006/relationships/image" Target="media/image51.png"/><Relationship Id="rId59" Type="http://schemas.openxmlformats.org/officeDocument/2006/relationships/image" Target="media/image52.png"/><Relationship Id="rId60" Type="http://schemas.openxmlformats.org/officeDocument/2006/relationships/image" Target="media/image53.png"/><Relationship Id="rId61" Type="http://schemas.openxmlformats.org/officeDocument/2006/relationships/image" Target="media/image54.png"/><Relationship Id="rId62" Type="http://schemas.openxmlformats.org/officeDocument/2006/relationships/image" Target="media/image55.png"/><Relationship Id="rId63" Type="http://schemas.openxmlformats.org/officeDocument/2006/relationships/image" Target="media/image56.png"/><Relationship Id="rId64" Type="http://schemas.openxmlformats.org/officeDocument/2006/relationships/image" Target="media/image57.png"/><Relationship Id="rId65" Type="http://schemas.openxmlformats.org/officeDocument/2006/relationships/image" Target="media/image58.png"/><Relationship Id="rId66" Type="http://schemas.openxmlformats.org/officeDocument/2006/relationships/image" Target="media/image59.png"/><Relationship Id="rId67" Type="http://schemas.openxmlformats.org/officeDocument/2006/relationships/image" Target="media/image60.png"/><Relationship Id="rId68" Type="http://schemas.openxmlformats.org/officeDocument/2006/relationships/image" Target="media/image61.png"/><Relationship Id="rId69" Type="http://schemas.openxmlformats.org/officeDocument/2006/relationships/image" Target="media/image62.png"/><Relationship Id="rId70" Type="http://schemas.openxmlformats.org/officeDocument/2006/relationships/image" Target="media/image63.png"/><Relationship Id="rId71" Type="http://schemas.openxmlformats.org/officeDocument/2006/relationships/image" Target="media/image64.png"/><Relationship Id="rId72" Type="http://schemas.openxmlformats.org/officeDocument/2006/relationships/image" Target="media/image65.png"/><Relationship Id="rId73" Type="http://schemas.openxmlformats.org/officeDocument/2006/relationships/image" Target="media/image66.png"/><Relationship Id="rId74" Type="http://schemas.openxmlformats.org/officeDocument/2006/relationships/image" Target="media/image67.png"/><Relationship Id="rId75" Type="http://schemas.openxmlformats.org/officeDocument/2006/relationships/image" Target="media/image68.png"/><Relationship Id="rId76" Type="http://schemas.openxmlformats.org/officeDocument/2006/relationships/footer" Target="footer4.xml"/><Relationship Id="rId77" Type="http://schemas.openxmlformats.org/officeDocument/2006/relationships/footer" Target="footer5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pachyu</dc:creator>
  <dcterms:created xsi:type="dcterms:W3CDTF">2021-07-21T00:45:24Z</dcterms:created>
  <dcterms:modified xsi:type="dcterms:W3CDTF">2021-07-21T00:45:24Z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2021-07-21T00:00:00Z</vt:filetime>
  </property>
  <property fmtid="{D5CDD505-2E9C-101B-9397-08002B2CF9AE}" pid="3" name="Creator">
    <vt:lpwstr>Adobe Acrobat Pro 2017 17.11.30199</vt:lpwstr>
  </property>
  <property fmtid="{D5CDD505-2E9C-101B-9397-08002B2CF9AE}" pid="4" name="LastSaved">
    <vt:filetime>2021-07-21T00:00:00Z</vt:filetime>
  </property>
</Properties>
</file>